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CEAA0" w14:textId="77777777" w:rsidR="000739ED" w:rsidRPr="00D25314" w:rsidRDefault="000739ED">
      <w:pPr>
        <w:pStyle w:val="Heading1"/>
        <w:rPr>
          <w:szCs w:val="28"/>
        </w:rPr>
      </w:pPr>
      <w:smartTag w:uri="urn:schemas-microsoft-com:office:smarttags" w:element="Street">
        <w:smartTag w:uri="urn:schemas-microsoft-com:office:smarttags" w:element="PlaceName">
          <w:r w:rsidRPr="00D25314">
            <w:rPr>
              <w:szCs w:val="28"/>
            </w:rPr>
            <w:t>SALISBURY</w:t>
          </w:r>
        </w:smartTag>
        <w:r w:rsidRPr="00D25314">
          <w:rPr>
            <w:szCs w:val="28"/>
          </w:rPr>
          <w:t xml:space="preserve"> </w:t>
        </w:r>
        <w:smartTag w:uri="urn:schemas-microsoft-com:office:smarttags" w:element="PlaceType">
          <w:r w:rsidRPr="00D25314">
            <w:rPr>
              <w:szCs w:val="28"/>
            </w:rPr>
            <w:t>UNIVERSITY</w:t>
          </w:r>
        </w:smartTag>
      </w:smartTag>
    </w:p>
    <w:p w14:paraId="09F1D811" w14:textId="77777777" w:rsidR="000739ED" w:rsidRDefault="000739ED"/>
    <w:p w14:paraId="1DFAB2C9" w14:textId="77777777" w:rsidR="000739ED" w:rsidRPr="002724B6" w:rsidRDefault="002724B6">
      <w:pPr>
        <w:pStyle w:val="Subtitle"/>
        <w:jc w:val="center"/>
        <w:rPr>
          <w:sz w:val="28"/>
          <w:szCs w:val="28"/>
        </w:rPr>
      </w:pPr>
      <w:smartTag w:uri="urn:schemas-microsoft-com:office:smarttags" w:element="Street">
        <w:smartTag w:uri="urn:schemas-microsoft-com:office:smarttags" w:element="City">
          <w:r>
            <w:rPr>
              <w:sz w:val="28"/>
              <w:szCs w:val="28"/>
            </w:rPr>
            <w:t>MISSION</w:t>
          </w:r>
        </w:smartTag>
      </w:smartTag>
    </w:p>
    <w:p w14:paraId="35A97BBF" w14:textId="77777777" w:rsidR="000739ED" w:rsidRDefault="000739ED">
      <w:pPr>
        <w:pStyle w:val="Subtitle"/>
        <w:jc w:val="center"/>
      </w:pPr>
    </w:p>
    <w:p w14:paraId="41FD271A" w14:textId="77777777" w:rsidR="00805D72" w:rsidRPr="00D25314" w:rsidRDefault="00805D72" w:rsidP="005A6EA4">
      <w:pPr>
        <w:pStyle w:val="BodyText"/>
        <w:spacing w:after="120"/>
        <w:rPr>
          <w:sz w:val="24"/>
          <w:szCs w:val="24"/>
        </w:rPr>
      </w:pPr>
      <w:r w:rsidRPr="00D25314">
        <w:rPr>
          <w:sz w:val="24"/>
          <w:szCs w:val="24"/>
        </w:rPr>
        <w:t>Salisbury University is a premier comprehensive Maryland public university, offering excellent, affordable education in undergraduate liberal arts, sciences, pre-professional and professional programs</w:t>
      </w:r>
      <w:r w:rsidR="00674C30">
        <w:rPr>
          <w:sz w:val="24"/>
          <w:szCs w:val="24"/>
        </w:rPr>
        <w:t xml:space="preserve">. </w:t>
      </w:r>
      <w:r w:rsidRPr="00D25314">
        <w:rPr>
          <w:sz w:val="24"/>
          <w:szCs w:val="24"/>
        </w:rPr>
        <w:t>Our highest purpose is to empower students with the knowledge, skills, and core values that contribute to active citizenship, gainful employment, and life</w:t>
      </w:r>
      <w:r w:rsidRPr="00D25314">
        <w:rPr>
          <w:sz w:val="24"/>
          <w:szCs w:val="24"/>
        </w:rPr>
        <w:noBreakHyphen/>
        <w:t>long learning</w:t>
      </w:r>
      <w:r w:rsidR="00674C30">
        <w:rPr>
          <w:sz w:val="24"/>
          <w:szCs w:val="24"/>
        </w:rPr>
        <w:t xml:space="preserve">. </w:t>
      </w:r>
      <w:r w:rsidRPr="00D25314">
        <w:rPr>
          <w:sz w:val="24"/>
          <w:szCs w:val="24"/>
        </w:rPr>
        <w:t xml:space="preserve"> </w:t>
      </w:r>
    </w:p>
    <w:p w14:paraId="27D1ECAF" w14:textId="77777777" w:rsidR="002724B6" w:rsidRPr="002724B6" w:rsidRDefault="002724B6" w:rsidP="002724B6">
      <w:pPr>
        <w:pStyle w:val="QuickA"/>
        <w:numPr>
          <w:ilvl w:val="0"/>
          <w:numId w:val="0"/>
        </w:numPr>
        <w:tabs>
          <w:tab w:val="left" w:pos="-720"/>
        </w:tabs>
        <w:spacing w:before="120" w:after="120"/>
        <w:jc w:val="center"/>
        <w:rPr>
          <w:b/>
          <w:sz w:val="28"/>
          <w:szCs w:val="28"/>
        </w:rPr>
      </w:pPr>
      <w:r>
        <w:rPr>
          <w:b/>
          <w:sz w:val="28"/>
          <w:szCs w:val="28"/>
        </w:rPr>
        <w:t>ACCOUNTABILITY GOALS, OBJECTIVES, AND PERFORMANCE MEASURES</w:t>
      </w:r>
    </w:p>
    <w:p w14:paraId="3B71C00E" w14:textId="77777777" w:rsidR="002724B6" w:rsidRPr="00AD45D6" w:rsidRDefault="002724B6" w:rsidP="002724B6">
      <w:pPr>
        <w:pStyle w:val="QuickA"/>
        <w:numPr>
          <w:ilvl w:val="0"/>
          <w:numId w:val="0"/>
        </w:numPr>
        <w:tabs>
          <w:tab w:val="left" w:pos="-720"/>
        </w:tabs>
        <w:spacing w:after="120"/>
        <w:rPr>
          <w:b/>
          <w:bCs/>
          <w:szCs w:val="24"/>
        </w:rPr>
      </w:pPr>
      <w:r w:rsidRPr="00AD45D6">
        <w:rPr>
          <w:b/>
          <w:bCs/>
          <w:szCs w:val="24"/>
        </w:rPr>
        <w:t>Overview</w:t>
      </w:r>
    </w:p>
    <w:p w14:paraId="15E1A1B2" w14:textId="77777777" w:rsidR="0053359D" w:rsidRDefault="00FB1C12" w:rsidP="00DF288A">
      <w:pPr>
        <w:pStyle w:val="QuickA"/>
        <w:numPr>
          <w:ilvl w:val="0"/>
          <w:numId w:val="0"/>
        </w:numPr>
        <w:tabs>
          <w:tab w:val="left" w:pos="-720"/>
        </w:tabs>
        <w:spacing w:after="120"/>
        <w:rPr>
          <w:szCs w:val="24"/>
        </w:rPr>
      </w:pPr>
      <w:r w:rsidRPr="00A373D1">
        <w:rPr>
          <w:szCs w:val="24"/>
        </w:rPr>
        <w:t>The 201</w:t>
      </w:r>
      <w:r w:rsidR="007A4C59">
        <w:rPr>
          <w:szCs w:val="24"/>
        </w:rPr>
        <w:t>1-12</w:t>
      </w:r>
      <w:r w:rsidR="002724B6" w:rsidRPr="00A373D1">
        <w:rPr>
          <w:szCs w:val="24"/>
        </w:rPr>
        <w:t xml:space="preserve"> academic year for Salisbury University (SU) has been </w:t>
      </w:r>
      <w:r w:rsidR="00E67EE1" w:rsidRPr="00A373D1">
        <w:rPr>
          <w:szCs w:val="24"/>
        </w:rPr>
        <w:t xml:space="preserve">a year of </w:t>
      </w:r>
      <w:r w:rsidR="00FD2794" w:rsidRPr="00A373D1">
        <w:rPr>
          <w:szCs w:val="24"/>
        </w:rPr>
        <w:t xml:space="preserve">progress </w:t>
      </w:r>
      <w:r w:rsidR="002724B6" w:rsidRPr="00A373D1">
        <w:rPr>
          <w:szCs w:val="24"/>
        </w:rPr>
        <w:t xml:space="preserve">for the institution. Freshmen applications </w:t>
      </w:r>
      <w:r w:rsidR="008E54B3" w:rsidRPr="00A373D1">
        <w:rPr>
          <w:szCs w:val="24"/>
        </w:rPr>
        <w:t xml:space="preserve">increased </w:t>
      </w:r>
      <w:r w:rsidR="0030178B">
        <w:rPr>
          <w:szCs w:val="24"/>
        </w:rPr>
        <w:t>nearly 4</w:t>
      </w:r>
      <w:r w:rsidR="002724B6" w:rsidRPr="00A373D1">
        <w:rPr>
          <w:szCs w:val="24"/>
        </w:rPr>
        <w:t xml:space="preserve">% </w:t>
      </w:r>
      <w:r w:rsidR="001310FA" w:rsidRPr="00A373D1">
        <w:rPr>
          <w:szCs w:val="24"/>
        </w:rPr>
        <w:t>last year</w:t>
      </w:r>
      <w:r w:rsidR="00A373D1" w:rsidRPr="00A373D1">
        <w:rPr>
          <w:szCs w:val="24"/>
        </w:rPr>
        <w:t xml:space="preserve">, while enrollment of first-time students </w:t>
      </w:r>
      <w:r w:rsidR="00A373D1">
        <w:rPr>
          <w:szCs w:val="24"/>
        </w:rPr>
        <w:t>(1,2</w:t>
      </w:r>
      <w:r w:rsidR="0030178B">
        <w:rPr>
          <w:szCs w:val="24"/>
        </w:rPr>
        <w:t>48</w:t>
      </w:r>
      <w:r w:rsidR="00A373D1">
        <w:rPr>
          <w:szCs w:val="24"/>
        </w:rPr>
        <w:t xml:space="preserve">) </w:t>
      </w:r>
      <w:r w:rsidR="00A373D1" w:rsidRPr="00A373D1">
        <w:rPr>
          <w:szCs w:val="24"/>
        </w:rPr>
        <w:t xml:space="preserve">was kept </w:t>
      </w:r>
      <w:r w:rsidR="00A373D1">
        <w:rPr>
          <w:szCs w:val="24"/>
        </w:rPr>
        <w:t>comparable to 20</w:t>
      </w:r>
      <w:r w:rsidR="0030178B">
        <w:rPr>
          <w:szCs w:val="24"/>
        </w:rPr>
        <w:t>10</w:t>
      </w:r>
      <w:r w:rsidR="00A373D1">
        <w:rPr>
          <w:szCs w:val="24"/>
        </w:rPr>
        <w:t xml:space="preserve"> figures</w:t>
      </w:r>
      <w:r w:rsidR="00811B8F" w:rsidRPr="00A373D1">
        <w:rPr>
          <w:szCs w:val="24"/>
        </w:rPr>
        <w:t>.</w:t>
      </w:r>
      <w:r w:rsidR="002724B6">
        <w:rPr>
          <w:szCs w:val="24"/>
        </w:rPr>
        <w:t xml:space="preserve"> </w:t>
      </w:r>
      <w:r w:rsidR="0030178B">
        <w:rPr>
          <w:szCs w:val="24"/>
        </w:rPr>
        <w:t>The ethnic diversity of the first-time student class was maintained at 22.5%.</w:t>
      </w:r>
      <w:r w:rsidR="007F47AA" w:rsidRPr="00CB416D">
        <w:rPr>
          <w:szCs w:val="24"/>
        </w:rPr>
        <w:t xml:space="preserve"> </w:t>
      </w:r>
      <w:r w:rsidR="001310FA" w:rsidRPr="00CB416D">
        <w:rPr>
          <w:szCs w:val="24"/>
        </w:rPr>
        <w:t>Last</w:t>
      </w:r>
      <w:r w:rsidR="00E67EE1" w:rsidRPr="00CB416D">
        <w:rPr>
          <w:szCs w:val="24"/>
        </w:rPr>
        <w:t xml:space="preserve"> year,</w:t>
      </w:r>
      <w:r w:rsidR="007F47AA" w:rsidRPr="00CB416D">
        <w:rPr>
          <w:szCs w:val="24"/>
        </w:rPr>
        <w:t xml:space="preserve"> the University attracted</w:t>
      </w:r>
      <w:r w:rsidR="007F47AA" w:rsidRPr="00C43689">
        <w:rPr>
          <w:szCs w:val="24"/>
        </w:rPr>
        <w:t xml:space="preserve"> more applicants</w:t>
      </w:r>
      <w:r w:rsidR="007F47AA">
        <w:rPr>
          <w:szCs w:val="24"/>
        </w:rPr>
        <w:t xml:space="preserve"> and enrolled a class with higher academic </w:t>
      </w:r>
      <w:r w:rsidR="00E67EE1">
        <w:rPr>
          <w:szCs w:val="24"/>
        </w:rPr>
        <w:t xml:space="preserve">credentials than </w:t>
      </w:r>
      <w:r w:rsidR="009825A4">
        <w:rPr>
          <w:szCs w:val="24"/>
        </w:rPr>
        <w:t xml:space="preserve">in </w:t>
      </w:r>
      <w:r w:rsidR="00E67EE1">
        <w:rPr>
          <w:szCs w:val="24"/>
        </w:rPr>
        <w:t>previous years</w:t>
      </w:r>
      <w:r w:rsidR="00811B8F">
        <w:rPr>
          <w:szCs w:val="24"/>
        </w:rPr>
        <w:t xml:space="preserve">. </w:t>
      </w:r>
      <w:r w:rsidR="0053359D">
        <w:rPr>
          <w:szCs w:val="24"/>
        </w:rPr>
        <w:t>Despite the financial hardship being experienced nationwide, the University has made significant progress toward accomplishing many of the goals outlined in this report</w:t>
      </w:r>
      <w:r w:rsidR="00396910">
        <w:rPr>
          <w:szCs w:val="24"/>
        </w:rPr>
        <w:t xml:space="preserve"> and </w:t>
      </w:r>
      <w:r w:rsidR="002A3014">
        <w:rPr>
          <w:szCs w:val="24"/>
        </w:rPr>
        <w:t>in</w:t>
      </w:r>
      <w:r w:rsidR="00396910">
        <w:rPr>
          <w:szCs w:val="24"/>
        </w:rPr>
        <w:t xml:space="preserve"> the University’s </w:t>
      </w:r>
      <w:r w:rsidR="00396910" w:rsidRPr="00396910">
        <w:rPr>
          <w:i/>
          <w:szCs w:val="24"/>
        </w:rPr>
        <w:t>2009-13 Strategic Plan</w:t>
      </w:r>
      <w:r w:rsidR="0053359D">
        <w:rPr>
          <w:szCs w:val="24"/>
        </w:rPr>
        <w:t xml:space="preserve">. </w:t>
      </w:r>
    </w:p>
    <w:p w14:paraId="0C04DD85" w14:textId="77777777" w:rsidR="002724B6" w:rsidRPr="000F4688" w:rsidRDefault="00CB6251" w:rsidP="00DF288A">
      <w:pPr>
        <w:pStyle w:val="QuickA"/>
        <w:numPr>
          <w:ilvl w:val="0"/>
          <w:numId w:val="0"/>
        </w:numPr>
        <w:tabs>
          <w:tab w:val="left" w:pos="-720"/>
        </w:tabs>
        <w:spacing w:after="120"/>
        <w:rPr>
          <w:szCs w:val="24"/>
        </w:rPr>
      </w:pPr>
      <w:r>
        <w:rPr>
          <w:szCs w:val="24"/>
        </w:rPr>
        <w:t xml:space="preserve">For </w:t>
      </w:r>
      <w:r w:rsidRPr="000F4688">
        <w:rPr>
          <w:szCs w:val="24"/>
        </w:rPr>
        <w:t xml:space="preserve">instance, </w:t>
      </w:r>
      <w:r w:rsidR="00BA0312" w:rsidRPr="000F4688">
        <w:rPr>
          <w:szCs w:val="24"/>
        </w:rPr>
        <w:t>this</w:t>
      </w:r>
      <w:r w:rsidR="002724B6" w:rsidRPr="000F4688">
        <w:rPr>
          <w:szCs w:val="24"/>
        </w:rPr>
        <w:t xml:space="preserve"> has been a year in which SU has garnered much national recognition of its reputation as an exceptional comprehensive university. </w:t>
      </w:r>
    </w:p>
    <w:p w14:paraId="31B2DF1B" w14:textId="77777777" w:rsidR="00A30F2B" w:rsidRPr="000F4688" w:rsidRDefault="00931B6E" w:rsidP="00EC11C2">
      <w:pPr>
        <w:pStyle w:val="QuickA"/>
        <w:numPr>
          <w:ilvl w:val="0"/>
          <w:numId w:val="12"/>
        </w:numPr>
        <w:tabs>
          <w:tab w:val="left" w:pos="-720"/>
        </w:tabs>
        <w:spacing w:after="120"/>
        <w:rPr>
          <w:szCs w:val="24"/>
        </w:rPr>
      </w:pPr>
      <w:r>
        <w:rPr>
          <w:i/>
          <w:szCs w:val="24"/>
        </w:rPr>
        <w:t>U.S. News &amp; World Report’s</w:t>
      </w:r>
      <w:r w:rsidR="002724B6" w:rsidRPr="000F4688">
        <w:rPr>
          <w:szCs w:val="24"/>
        </w:rPr>
        <w:t xml:space="preserve"> </w:t>
      </w:r>
      <w:r w:rsidR="009825A4" w:rsidRPr="00931B6E">
        <w:rPr>
          <w:i/>
          <w:szCs w:val="24"/>
        </w:rPr>
        <w:t>Bes</w:t>
      </w:r>
      <w:r w:rsidR="000F4688" w:rsidRPr="00931B6E">
        <w:rPr>
          <w:i/>
          <w:szCs w:val="24"/>
        </w:rPr>
        <w:t xml:space="preserve">t Colleges </w:t>
      </w:r>
      <w:r>
        <w:rPr>
          <w:szCs w:val="24"/>
        </w:rPr>
        <w:t>for 2012-</w:t>
      </w:r>
      <w:r w:rsidR="000F4688" w:rsidRPr="000F4688">
        <w:rPr>
          <w:szCs w:val="24"/>
        </w:rPr>
        <w:t>201</w:t>
      </w:r>
      <w:r w:rsidR="0030178B">
        <w:rPr>
          <w:szCs w:val="24"/>
        </w:rPr>
        <w:t xml:space="preserve">3 </w:t>
      </w:r>
      <w:r>
        <w:rPr>
          <w:szCs w:val="24"/>
        </w:rPr>
        <w:t>selected SU</w:t>
      </w:r>
      <w:r w:rsidR="0030178B">
        <w:rPr>
          <w:szCs w:val="24"/>
        </w:rPr>
        <w:t xml:space="preserve"> </w:t>
      </w:r>
      <w:r>
        <w:rPr>
          <w:szCs w:val="24"/>
        </w:rPr>
        <w:t xml:space="preserve">as </w:t>
      </w:r>
      <w:r w:rsidR="009825A4" w:rsidRPr="000F4688">
        <w:rPr>
          <w:szCs w:val="24"/>
        </w:rPr>
        <w:t xml:space="preserve">a </w:t>
      </w:r>
      <w:r w:rsidR="002724B6" w:rsidRPr="000F4688">
        <w:rPr>
          <w:szCs w:val="24"/>
        </w:rPr>
        <w:t xml:space="preserve">top </w:t>
      </w:r>
      <w:r w:rsidR="00121BA0" w:rsidRPr="000F4688">
        <w:rPr>
          <w:szCs w:val="24"/>
        </w:rPr>
        <w:t xml:space="preserve">regional </w:t>
      </w:r>
      <w:r w:rsidR="002724B6" w:rsidRPr="0030178B">
        <w:rPr>
          <w:szCs w:val="24"/>
        </w:rPr>
        <w:t>public</w:t>
      </w:r>
      <w:r w:rsidR="002724B6" w:rsidRPr="000F4688">
        <w:rPr>
          <w:szCs w:val="24"/>
        </w:rPr>
        <w:t xml:space="preserve"> universit</w:t>
      </w:r>
      <w:r w:rsidR="009825A4" w:rsidRPr="000F4688">
        <w:rPr>
          <w:szCs w:val="24"/>
        </w:rPr>
        <w:t>y</w:t>
      </w:r>
      <w:r w:rsidR="002724B6" w:rsidRPr="000F4688">
        <w:rPr>
          <w:szCs w:val="24"/>
        </w:rPr>
        <w:t xml:space="preserve"> in the North</w:t>
      </w:r>
      <w:r>
        <w:rPr>
          <w:szCs w:val="24"/>
        </w:rPr>
        <w:t>, the 16</w:t>
      </w:r>
      <w:r w:rsidRPr="00931B6E">
        <w:rPr>
          <w:szCs w:val="24"/>
          <w:vertAlign w:val="superscript"/>
        </w:rPr>
        <w:t>th</w:t>
      </w:r>
      <w:r>
        <w:rPr>
          <w:szCs w:val="24"/>
        </w:rPr>
        <w:t xml:space="preserve"> consecutive year for this honor</w:t>
      </w:r>
      <w:r w:rsidR="00121BA0" w:rsidRPr="000F4688">
        <w:rPr>
          <w:szCs w:val="24"/>
        </w:rPr>
        <w:t>. Additionally,</w:t>
      </w:r>
      <w:r w:rsidR="009825A4" w:rsidRPr="000F4688">
        <w:rPr>
          <w:szCs w:val="24"/>
        </w:rPr>
        <w:t xml:space="preserve"> for </w:t>
      </w:r>
      <w:r w:rsidR="000F4688" w:rsidRPr="000F4688">
        <w:rPr>
          <w:szCs w:val="24"/>
        </w:rPr>
        <w:t>the 1</w:t>
      </w:r>
      <w:r w:rsidR="0030178B">
        <w:rPr>
          <w:szCs w:val="24"/>
        </w:rPr>
        <w:t>1</w:t>
      </w:r>
      <w:r w:rsidR="00A30F2B" w:rsidRPr="000F4688">
        <w:rPr>
          <w:szCs w:val="24"/>
          <w:vertAlign w:val="superscript"/>
        </w:rPr>
        <w:t>th</w:t>
      </w:r>
      <w:r w:rsidR="00A30F2B" w:rsidRPr="000F4688">
        <w:rPr>
          <w:szCs w:val="24"/>
        </w:rPr>
        <w:t xml:space="preserve"> consecutive year, SU was ranked as a best regional university among</w:t>
      </w:r>
      <w:r w:rsidR="00121BA0" w:rsidRPr="000F4688">
        <w:rPr>
          <w:szCs w:val="24"/>
        </w:rPr>
        <w:t xml:space="preserve"> </w:t>
      </w:r>
      <w:r w:rsidR="00A30F2B" w:rsidRPr="0030178B">
        <w:rPr>
          <w:szCs w:val="24"/>
        </w:rPr>
        <w:t>public and private</w:t>
      </w:r>
      <w:r w:rsidR="00A30F2B" w:rsidRPr="000F4688">
        <w:rPr>
          <w:szCs w:val="24"/>
        </w:rPr>
        <w:t xml:space="preserve"> institutions in the</w:t>
      </w:r>
      <w:r w:rsidR="00121BA0" w:rsidRPr="000F4688">
        <w:rPr>
          <w:szCs w:val="24"/>
        </w:rPr>
        <w:t xml:space="preserve"> North</w:t>
      </w:r>
      <w:r w:rsidR="00A30F2B" w:rsidRPr="000F4688">
        <w:rPr>
          <w:i/>
          <w:szCs w:val="24"/>
        </w:rPr>
        <w:t>.</w:t>
      </w:r>
    </w:p>
    <w:p w14:paraId="3625D398" w14:textId="77777777" w:rsidR="000223B6" w:rsidRPr="009B328A" w:rsidRDefault="000223B6" w:rsidP="00EC11C2">
      <w:pPr>
        <w:pStyle w:val="QuickA"/>
        <w:numPr>
          <w:ilvl w:val="0"/>
          <w:numId w:val="12"/>
        </w:numPr>
        <w:tabs>
          <w:tab w:val="left" w:pos="-720"/>
          <w:tab w:val="left" w:pos="3960"/>
        </w:tabs>
        <w:spacing w:after="120"/>
        <w:rPr>
          <w:szCs w:val="24"/>
        </w:rPr>
      </w:pPr>
      <w:r w:rsidRPr="00B85476">
        <w:rPr>
          <w:szCs w:val="24"/>
        </w:rPr>
        <w:t>For the 1</w:t>
      </w:r>
      <w:r w:rsidR="00946BE3">
        <w:rPr>
          <w:szCs w:val="24"/>
        </w:rPr>
        <w:t>4</w:t>
      </w:r>
      <w:r w:rsidR="002724B6" w:rsidRPr="00B85476">
        <w:rPr>
          <w:szCs w:val="24"/>
          <w:vertAlign w:val="superscript"/>
        </w:rPr>
        <w:t>th</w:t>
      </w:r>
      <w:r w:rsidR="002724B6" w:rsidRPr="00B85476">
        <w:rPr>
          <w:szCs w:val="24"/>
        </w:rPr>
        <w:t xml:space="preserve"> consecutive year, SU was designated by </w:t>
      </w:r>
      <w:r w:rsidR="002724B6" w:rsidRPr="00B85476">
        <w:rPr>
          <w:i/>
          <w:szCs w:val="24"/>
        </w:rPr>
        <w:t xml:space="preserve">The Princeton Review </w:t>
      </w:r>
      <w:r w:rsidRPr="00B85476">
        <w:rPr>
          <w:szCs w:val="24"/>
        </w:rPr>
        <w:t xml:space="preserve">as one </w:t>
      </w:r>
      <w:r w:rsidR="00121BA0" w:rsidRPr="00B85476">
        <w:rPr>
          <w:szCs w:val="24"/>
        </w:rPr>
        <w:t>of the</w:t>
      </w:r>
      <w:r w:rsidRPr="00B85476">
        <w:rPr>
          <w:szCs w:val="24"/>
        </w:rPr>
        <w:t xml:space="preserve"> </w:t>
      </w:r>
      <w:r w:rsidR="00580EAA">
        <w:rPr>
          <w:szCs w:val="24"/>
        </w:rPr>
        <w:t xml:space="preserve">nation’s best institutions in </w:t>
      </w:r>
      <w:r w:rsidR="00121BA0" w:rsidRPr="00580EAA">
        <w:rPr>
          <w:i/>
          <w:szCs w:val="24"/>
        </w:rPr>
        <w:t xml:space="preserve">The </w:t>
      </w:r>
      <w:r w:rsidRPr="00580EAA">
        <w:rPr>
          <w:i/>
          <w:szCs w:val="24"/>
        </w:rPr>
        <w:t>Best 3</w:t>
      </w:r>
      <w:r w:rsidR="00946BE3" w:rsidRPr="00580EAA">
        <w:rPr>
          <w:i/>
          <w:szCs w:val="24"/>
        </w:rPr>
        <w:t>77</w:t>
      </w:r>
      <w:r w:rsidR="002724B6" w:rsidRPr="00580EAA">
        <w:rPr>
          <w:i/>
          <w:szCs w:val="24"/>
        </w:rPr>
        <w:t xml:space="preserve"> Colleges</w:t>
      </w:r>
      <w:r w:rsidR="002724B6" w:rsidRPr="00B85476">
        <w:rPr>
          <w:szCs w:val="24"/>
        </w:rPr>
        <w:t xml:space="preserve"> in </w:t>
      </w:r>
      <w:r w:rsidR="00A30F2B" w:rsidRPr="00B85476">
        <w:rPr>
          <w:szCs w:val="24"/>
        </w:rPr>
        <w:t>America</w:t>
      </w:r>
      <w:r w:rsidR="009B328A">
        <w:rPr>
          <w:szCs w:val="24"/>
        </w:rPr>
        <w:t xml:space="preserve"> </w:t>
      </w:r>
      <w:r w:rsidR="00A30F2B" w:rsidRPr="00B85476">
        <w:rPr>
          <w:szCs w:val="24"/>
        </w:rPr>
        <w:t xml:space="preserve">and one of </w:t>
      </w:r>
      <w:r w:rsidR="00A30F2B" w:rsidRPr="00580EAA">
        <w:rPr>
          <w:i/>
          <w:szCs w:val="24"/>
        </w:rPr>
        <w:t>The Best Northeastern Colleges</w:t>
      </w:r>
      <w:r w:rsidR="009B328A" w:rsidRPr="009B328A">
        <w:rPr>
          <w:szCs w:val="24"/>
        </w:rPr>
        <w:t xml:space="preserve"> for 2012-13</w:t>
      </w:r>
      <w:r w:rsidR="00A30F2B" w:rsidRPr="009B328A">
        <w:rPr>
          <w:szCs w:val="24"/>
        </w:rPr>
        <w:t>.</w:t>
      </w:r>
    </w:p>
    <w:p w14:paraId="64333E51" w14:textId="77777777" w:rsidR="002724B6" w:rsidRDefault="002724B6" w:rsidP="00EC11C2">
      <w:pPr>
        <w:pStyle w:val="QuickA"/>
        <w:numPr>
          <w:ilvl w:val="0"/>
          <w:numId w:val="12"/>
        </w:numPr>
        <w:tabs>
          <w:tab w:val="left" w:pos="-720"/>
        </w:tabs>
        <w:spacing w:after="120"/>
        <w:rPr>
          <w:szCs w:val="24"/>
        </w:rPr>
      </w:pPr>
      <w:r w:rsidRPr="00A30F2B">
        <w:rPr>
          <w:i/>
          <w:szCs w:val="24"/>
        </w:rPr>
        <w:t>Kiplinger’s Personal Finance</w:t>
      </w:r>
      <w:r w:rsidRPr="00A30F2B">
        <w:rPr>
          <w:szCs w:val="24"/>
        </w:rPr>
        <w:t xml:space="preserve"> m</w:t>
      </w:r>
      <w:r w:rsidR="008C3EE4">
        <w:rPr>
          <w:szCs w:val="24"/>
        </w:rPr>
        <w:t>agazine named SU as one of the T</w:t>
      </w:r>
      <w:r w:rsidRPr="00A30F2B">
        <w:rPr>
          <w:szCs w:val="24"/>
        </w:rPr>
        <w:t xml:space="preserve">op “100 Best Values in Colleges” </w:t>
      </w:r>
      <w:r w:rsidR="00F000F3" w:rsidRPr="00A30F2B">
        <w:rPr>
          <w:szCs w:val="24"/>
        </w:rPr>
        <w:t xml:space="preserve">in </w:t>
      </w:r>
      <w:r w:rsidR="00663B6B">
        <w:rPr>
          <w:szCs w:val="24"/>
        </w:rPr>
        <w:t>its 201</w:t>
      </w:r>
      <w:r w:rsidR="00023071">
        <w:rPr>
          <w:szCs w:val="24"/>
        </w:rPr>
        <w:t>2</w:t>
      </w:r>
      <w:r w:rsidR="00F000F3" w:rsidRPr="00A30F2B">
        <w:rPr>
          <w:szCs w:val="24"/>
        </w:rPr>
        <w:t xml:space="preserve"> edition.</w:t>
      </w:r>
    </w:p>
    <w:p w14:paraId="1CEA89F0" w14:textId="77777777" w:rsidR="00A30F2B" w:rsidRDefault="00A30F2B" w:rsidP="00EC11C2">
      <w:pPr>
        <w:pStyle w:val="QuickA"/>
        <w:numPr>
          <w:ilvl w:val="0"/>
          <w:numId w:val="12"/>
        </w:numPr>
        <w:tabs>
          <w:tab w:val="left" w:pos="-720"/>
        </w:tabs>
        <w:spacing w:after="120"/>
        <w:rPr>
          <w:szCs w:val="24"/>
        </w:rPr>
      </w:pPr>
      <w:r w:rsidRPr="004672C2">
        <w:rPr>
          <w:i/>
          <w:szCs w:val="24"/>
        </w:rPr>
        <w:t>The Princeton Review</w:t>
      </w:r>
      <w:r w:rsidRPr="004672C2">
        <w:rPr>
          <w:szCs w:val="24"/>
        </w:rPr>
        <w:t xml:space="preserve"> in partnership with the </w:t>
      </w:r>
      <w:r w:rsidRPr="004672C2">
        <w:rPr>
          <w:i/>
          <w:szCs w:val="24"/>
        </w:rPr>
        <w:t>U.S. Green Building Council</w:t>
      </w:r>
      <w:r w:rsidRPr="004672C2">
        <w:rPr>
          <w:szCs w:val="24"/>
        </w:rPr>
        <w:t>, named SU a</w:t>
      </w:r>
      <w:r w:rsidR="00023071">
        <w:rPr>
          <w:szCs w:val="24"/>
        </w:rPr>
        <w:t>s one of the top 322 Green Colleges for 2012</w:t>
      </w:r>
      <w:r w:rsidRPr="004672C2">
        <w:rPr>
          <w:szCs w:val="24"/>
        </w:rPr>
        <w:t>.</w:t>
      </w:r>
    </w:p>
    <w:p w14:paraId="6CBA6DDD" w14:textId="77777777" w:rsidR="00580EAA" w:rsidRPr="00580EAA" w:rsidRDefault="00580EAA" w:rsidP="00580EAA">
      <w:pPr>
        <w:widowControl/>
        <w:numPr>
          <w:ilvl w:val="0"/>
          <w:numId w:val="12"/>
        </w:numPr>
        <w:spacing w:after="120"/>
      </w:pPr>
      <w:r w:rsidRPr="00580EAA">
        <w:rPr>
          <w:i/>
        </w:rPr>
        <w:t>University Business</w:t>
      </w:r>
      <w:r w:rsidRPr="00580EAA">
        <w:t xml:space="preserve"> magazine</w:t>
      </w:r>
      <w:r>
        <w:t xml:space="preserve"> named SU as a</w:t>
      </w:r>
      <w:r w:rsidRPr="00580EAA">
        <w:t xml:space="preserve"> “Model of Efficiency” for spring 2012. </w:t>
      </w:r>
      <w:r>
        <w:t>SU was</w:t>
      </w:r>
      <w:r w:rsidRPr="00580EAA">
        <w:t xml:space="preserve"> </w:t>
      </w:r>
      <w:r>
        <w:t>a</w:t>
      </w:r>
      <w:r w:rsidRPr="00580EAA">
        <w:t>pplauded for innovative approaches to streamline operations</w:t>
      </w:r>
      <w:r>
        <w:t xml:space="preserve"> The University </w:t>
      </w:r>
      <w:r w:rsidRPr="00580EAA">
        <w:t xml:space="preserve">was the only Maryland campus honored and one of only 16 recognized nationwide.  </w:t>
      </w:r>
    </w:p>
    <w:p w14:paraId="4715A189" w14:textId="77777777" w:rsidR="00162E17" w:rsidRPr="00225229" w:rsidRDefault="008C3EE4" w:rsidP="008645EF">
      <w:pPr>
        <w:spacing w:after="120"/>
      </w:pPr>
      <w:r>
        <w:rPr>
          <w:szCs w:val="24"/>
        </w:rPr>
        <w:t xml:space="preserve">SU’s </w:t>
      </w:r>
      <w:r w:rsidRPr="00BA0312">
        <w:rPr>
          <w:i/>
          <w:szCs w:val="24"/>
        </w:rPr>
        <w:t>2009-2013 Strategic Plan</w:t>
      </w:r>
      <w:r>
        <w:rPr>
          <w:szCs w:val="24"/>
        </w:rPr>
        <w:t xml:space="preserve"> </w:t>
      </w:r>
      <w:r w:rsidR="00BA0312">
        <w:rPr>
          <w:szCs w:val="24"/>
        </w:rPr>
        <w:t xml:space="preserve">included </w:t>
      </w:r>
      <w:r>
        <w:rPr>
          <w:szCs w:val="24"/>
        </w:rPr>
        <w:t>g</w:t>
      </w:r>
      <w:r w:rsidR="0053359D" w:rsidRPr="00FF6BF1">
        <w:rPr>
          <w:szCs w:val="24"/>
        </w:rPr>
        <w:t xml:space="preserve">oals </w:t>
      </w:r>
      <w:r w:rsidR="00BA0312">
        <w:rPr>
          <w:szCs w:val="24"/>
        </w:rPr>
        <w:t xml:space="preserve">that </w:t>
      </w:r>
      <w:r w:rsidR="00CE0E81">
        <w:rPr>
          <w:szCs w:val="24"/>
        </w:rPr>
        <w:t>complement the key goals and o</w:t>
      </w:r>
      <w:r w:rsidR="008645EF">
        <w:rPr>
          <w:szCs w:val="24"/>
        </w:rPr>
        <w:t xml:space="preserve">bjectives identified in the </w:t>
      </w:r>
      <w:r w:rsidR="0053359D" w:rsidRPr="008645EF">
        <w:rPr>
          <w:i/>
          <w:szCs w:val="24"/>
        </w:rPr>
        <w:t>Managi</w:t>
      </w:r>
      <w:r w:rsidR="008645EF" w:rsidRPr="008645EF">
        <w:rPr>
          <w:i/>
          <w:szCs w:val="24"/>
        </w:rPr>
        <w:t>ng for Results</w:t>
      </w:r>
      <w:r w:rsidR="00BA0312">
        <w:rPr>
          <w:szCs w:val="24"/>
        </w:rPr>
        <w:t xml:space="preserve"> (MFR) document and </w:t>
      </w:r>
      <w:r w:rsidR="00162E17" w:rsidRPr="00FF6BF1">
        <w:rPr>
          <w:szCs w:val="24"/>
        </w:rPr>
        <w:t>the five goals for postsecondary e</w:t>
      </w:r>
      <w:r w:rsidR="00BA0312">
        <w:rPr>
          <w:szCs w:val="24"/>
        </w:rPr>
        <w:t xml:space="preserve">ducation identified in the </w:t>
      </w:r>
      <w:r w:rsidR="00020DB0" w:rsidRPr="00BA0312">
        <w:rPr>
          <w:i/>
          <w:szCs w:val="24"/>
        </w:rPr>
        <w:t>2009</w:t>
      </w:r>
      <w:r w:rsidR="00162E17" w:rsidRPr="00BA0312">
        <w:rPr>
          <w:i/>
          <w:szCs w:val="24"/>
        </w:rPr>
        <w:t xml:space="preserve"> Maryland State P</w:t>
      </w:r>
      <w:r w:rsidR="00BA0312" w:rsidRPr="00BA0312">
        <w:rPr>
          <w:i/>
          <w:szCs w:val="24"/>
        </w:rPr>
        <w:t>lan for Postsecondary Education</w:t>
      </w:r>
      <w:r w:rsidR="008645EF">
        <w:rPr>
          <w:szCs w:val="24"/>
        </w:rPr>
        <w:t xml:space="preserve"> (MSP)</w:t>
      </w:r>
      <w:r w:rsidR="00BA0312">
        <w:rPr>
          <w:szCs w:val="24"/>
        </w:rPr>
        <w:t>.</w:t>
      </w:r>
      <w:r w:rsidR="00E33E4E">
        <w:rPr>
          <w:szCs w:val="24"/>
        </w:rPr>
        <w:t xml:space="preserve"> </w:t>
      </w:r>
      <w:r w:rsidR="008645EF">
        <w:rPr>
          <w:szCs w:val="24"/>
        </w:rPr>
        <w:t>The MSP</w:t>
      </w:r>
      <w:r w:rsidR="00CE0E81">
        <w:rPr>
          <w:szCs w:val="24"/>
        </w:rPr>
        <w:t xml:space="preserve"> includes goals for quality and effectiveness, access and affordability, </w:t>
      </w:r>
      <w:r w:rsidR="0080150E">
        <w:rPr>
          <w:szCs w:val="24"/>
        </w:rPr>
        <w:t xml:space="preserve">diversity, </w:t>
      </w:r>
      <w:r w:rsidR="0080150E" w:rsidRPr="00CE0E81">
        <w:rPr>
          <w:szCs w:val="24"/>
        </w:rPr>
        <w:t>a</w:t>
      </w:r>
      <w:r w:rsidR="0080150E">
        <w:rPr>
          <w:szCs w:val="24"/>
        </w:rPr>
        <w:t xml:space="preserve"> student-centered learning s</w:t>
      </w:r>
      <w:r w:rsidR="0080150E" w:rsidRPr="00CE0E81">
        <w:rPr>
          <w:szCs w:val="24"/>
        </w:rPr>
        <w:t>ystem</w:t>
      </w:r>
      <w:r w:rsidR="0080150E">
        <w:rPr>
          <w:szCs w:val="24"/>
        </w:rPr>
        <w:t xml:space="preserve">, and </w:t>
      </w:r>
      <w:r w:rsidR="00CE0E81">
        <w:rPr>
          <w:szCs w:val="24"/>
        </w:rPr>
        <w:t>e</w:t>
      </w:r>
      <w:r w:rsidR="00CE0E81" w:rsidRPr="00CE0E81">
        <w:rPr>
          <w:szCs w:val="24"/>
        </w:rPr>
        <w:t>conomic</w:t>
      </w:r>
      <w:r w:rsidR="00CE0E81">
        <w:rPr>
          <w:szCs w:val="24"/>
        </w:rPr>
        <w:t xml:space="preserve"> g</w:t>
      </w:r>
      <w:r w:rsidR="00CE0E81" w:rsidRPr="00CE0E81">
        <w:rPr>
          <w:szCs w:val="24"/>
        </w:rPr>
        <w:t xml:space="preserve">rowth and </w:t>
      </w:r>
      <w:r w:rsidR="00CE0E81">
        <w:rPr>
          <w:szCs w:val="24"/>
        </w:rPr>
        <w:t>v</w:t>
      </w:r>
      <w:r w:rsidR="00CE0E81" w:rsidRPr="00CE0E81">
        <w:rPr>
          <w:szCs w:val="24"/>
        </w:rPr>
        <w:t>itality</w:t>
      </w:r>
      <w:r w:rsidR="00CE0E81">
        <w:rPr>
          <w:szCs w:val="24"/>
        </w:rPr>
        <w:t>.</w:t>
      </w:r>
      <w:r w:rsidR="008645EF">
        <w:rPr>
          <w:szCs w:val="24"/>
        </w:rPr>
        <w:t xml:space="preserve"> </w:t>
      </w:r>
      <w:r w:rsidR="00162E17" w:rsidRPr="00FF6BF1">
        <w:rPr>
          <w:szCs w:val="24"/>
        </w:rPr>
        <w:t xml:space="preserve">In addition to MFR-specific data, there are a number of additional indicators and qualitative efforts that are related to SU’s </w:t>
      </w:r>
      <w:r w:rsidR="00162E17" w:rsidRPr="00FF6BF1">
        <w:rPr>
          <w:szCs w:val="24"/>
        </w:rPr>
        <w:lastRenderedPageBreak/>
        <w:t xml:space="preserve">progress towards the </w:t>
      </w:r>
      <w:r w:rsidR="00CE0E81">
        <w:rPr>
          <w:szCs w:val="24"/>
        </w:rPr>
        <w:t>key goals and o</w:t>
      </w:r>
      <w:r w:rsidR="00162E17" w:rsidRPr="00FF6BF1">
        <w:rPr>
          <w:szCs w:val="24"/>
        </w:rPr>
        <w:t>bjectives</w:t>
      </w:r>
      <w:r w:rsidR="00CE0E81">
        <w:rPr>
          <w:szCs w:val="24"/>
        </w:rPr>
        <w:t xml:space="preserve"> identified at the end of this report</w:t>
      </w:r>
      <w:r w:rsidR="00162E17" w:rsidRPr="00FF6BF1">
        <w:rPr>
          <w:szCs w:val="24"/>
        </w:rPr>
        <w:t xml:space="preserve">. To determine how effectively SU is </w:t>
      </w:r>
      <w:r w:rsidR="00162E17" w:rsidRPr="00225229">
        <w:rPr>
          <w:szCs w:val="24"/>
        </w:rPr>
        <w:t>prog</w:t>
      </w:r>
      <w:r w:rsidR="00020DB0" w:rsidRPr="00225229">
        <w:rPr>
          <w:szCs w:val="24"/>
        </w:rPr>
        <w:t>ressing towards</w:t>
      </w:r>
      <w:r w:rsidR="00E33E4E" w:rsidRPr="00225229">
        <w:rPr>
          <w:szCs w:val="24"/>
        </w:rPr>
        <w:t xml:space="preserve"> meeting the 201</w:t>
      </w:r>
      <w:r w:rsidR="00606925" w:rsidRPr="00225229">
        <w:rPr>
          <w:szCs w:val="24"/>
        </w:rPr>
        <w:t>2</w:t>
      </w:r>
      <w:r w:rsidR="00674EAD" w:rsidRPr="00225229">
        <w:rPr>
          <w:szCs w:val="24"/>
        </w:rPr>
        <w:t xml:space="preserve"> MFR key goals and o</w:t>
      </w:r>
      <w:r w:rsidR="00162E17" w:rsidRPr="00225229">
        <w:rPr>
          <w:szCs w:val="24"/>
        </w:rPr>
        <w:t xml:space="preserve">bjectives, data relevant to each objective will be described in subsequent sections of this report. </w:t>
      </w:r>
    </w:p>
    <w:p w14:paraId="23E2CE20" w14:textId="77777777" w:rsidR="002724B6" w:rsidRPr="00D25314" w:rsidRDefault="002724B6" w:rsidP="00DF288A">
      <w:pPr>
        <w:pStyle w:val="Heading2"/>
        <w:spacing w:after="120"/>
        <w:rPr>
          <w:sz w:val="28"/>
          <w:szCs w:val="28"/>
        </w:rPr>
      </w:pPr>
      <w:r w:rsidRPr="00225229">
        <w:rPr>
          <w:sz w:val="28"/>
          <w:szCs w:val="28"/>
        </w:rPr>
        <w:t>INSTITUTIONAL ASSESSMENT</w:t>
      </w:r>
    </w:p>
    <w:p w14:paraId="4F0A74CB" w14:textId="77777777" w:rsidR="00162E17" w:rsidRDefault="00162E17" w:rsidP="00DF288A">
      <w:pPr>
        <w:pStyle w:val="QuickA"/>
        <w:numPr>
          <w:ilvl w:val="0"/>
          <w:numId w:val="0"/>
        </w:numPr>
        <w:tabs>
          <w:tab w:val="left" w:pos="-720"/>
        </w:tabs>
        <w:spacing w:after="120"/>
        <w:rPr>
          <w:b/>
          <w:szCs w:val="24"/>
        </w:rPr>
      </w:pPr>
      <w:r w:rsidRPr="00F155A8">
        <w:rPr>
          <w:b/>
          <w:szCs w:val="24"/>
        </w:rPr>
        <w:t>Quality &amp; Effectiveness</w:t>
      </w:r>
    </w:p>
    <w:p w14:paraId="5F2F8169" w14:textId="77777777" w:rsidR="001F29BB" w:rsidRPr="001F29BB" w:rsidRDefault="008645EF" w:rsidP="00DF288A">
      <w:pPr>
        <w:pStyle w:val="QuickA"/>
        <w:numPr>
          <w:ilvl w:val="0"/>
          <w:numId w:val="0"/>
        </w:numPr>
        <w:tabs>
          <w:tab w:val="left" w:pos="-720"/>
        </w:tabs>
        <w:spacing w:after="120"/>
        <w:rPr>
          <w:i/>
          <w:szCs w:val="24"/>
        </w:rPr>
      </w:pPr>
      <w:r>
        <w:rPr>
          <w:i/>
          <w:szCs w:val="24"/>
        </w:rPr>
        <w:t xml:space="preserve">MSP Goal: </w:t>
      </w:r>
      <w:r w:rsidR="001F29BB">
        <w:rPr>
          <w:i/>
          <w:szCs w:val="24"/>
        </w:rPr>
        <w:t>Maintain and strengthen a system of postsecondary education institutions recognized nationally for academic excellence and effectiveness in fulfilling the educational needs of students and the economic and societal development needs of the state and the nation.</w:t>
      </w:r>
    </w:p>
    <w:p w14:paraId="3C84880A" w14:textId="77777777" w:rsidR="005A6EA4" w:rsidRPr="00503CE0" w:rsidRDefault="005A6EA4" w:rsidP="00DF288A">
      <w:pPr>
        <w:pStyle w:val="QuickA"/>
        <w:numPr>
          <w:ilvl w:val="0"/>
          <w:numId w:val="0"/>
        </w:numPr>
        <w:tabs>
          <w:tab w:val="left" w:pos="-720"/>
        </w:tabs>
        <w:spacing w:after="120"/>
        <w:rPr>
          <w:i/>
          <w:szCs w:val="24"/>
        </w:rPr>
      </w:pPr>
      <w:r w:rsidRPr="00503CE0">
        <w:rPr>
          <w:i/>
          <w:szCs w:val="24"/>
        </w:rPr>
        <w:t>MFR Objectives</w:t>
      </w:r>
      <w:r w:rsidR="008645EF" w:rsidRPr="00503CE0">
        <w:rPr>
          <w:i/>
          <w:szCs w:val="24"/>
        </w:rPr>
        <w:t xml:space="preserve">: </w:t>
      </w:r>
      <w:r w:rsidRPr="00503CE0">
        <w:rPr>
          <w:i/>
          <w:szCs w:val="24"/>
        </w:rPr>
        <w:t>1.1-1.4,</w:t>
      </w:r>
      <w:r w:rsidR="00E33357">
        <w:rPr>
          <w:i/>
          <w:szCs w:val="24"/>
        </w:rPr>
        <w:t xml:space="preserve"> 4.1-4.6; Additional Indicator</w:t>
      </w:r>
      <w:r w:rsidR="00C6647C">
        <w:rPr>
          <w:i/>
          <w:szCs w:val="24"/>
        </w:rPr>
        <w:t>s 1, 2, 7</w:t>
      </w:r>
    </w:p>
    <w:p w14:paraId="4363BAE1" w14:textId="77777777" w:rsidR="00D57444" w:rsidRPr="00503CE0" w:rsidRDefault="00C47FEB" w:rsidP="00663B6B">
      <w:pPr>
        <w:spacing w:after="120"/>
        <w:rPr>
          <w:szCs w:val="24"/>
        </w:rPr>
      </w:pPr>
      <w:r w:rsidRPr="00503CE0">
        <w:rPr>
          <w:szCs w:val="24"/>
        </w:rPr>
        <w:t>SU</w:t>
      </w:r>
      <w:r w:rsidR="00186506" w:rsidRPr="00503CE0">
        <w:rPr>
          <w:szCs w:val="24"/>
        </w:rPr>
        <w:t>’s</w:t>
      </w:r>
      <w:r w:rsidRPr="00503CE0">
        <w:rPr>
          <w:szCs w:val="24"/>
        </w:rPr>
        <w:t xml:space="preserve"> commitment to </w:t>
      </w:r>
      <w:r w:rsidR="00186506" w:rsidRPr="00503CE0">
        <w:rPr>
          <w:szCs w:val="24"/>
        </w:rPr>
        <w:t>p</w:t>
      </w:r>
      <w:r w:rsidRPr="00503CE0">
        <w:rPr>
          <w:szCs w:val="24"/>
        </w:rPr>
        <w:t xml:space="preserve">rovide </w:t>
      </w:r>
      <w:r w:rsidR="008B402F" w:rsidRPr="00503CE0">
        <w:rPr>
          <w:szCs w:val="24"/>
        </w:rPr>
        <w:t xml:space="preserve">an </w:t>
      </w:r>
      <w:r w:rsidRPr="00503CE0">
        <w:rPr>
          <w:szCs w:val="24"/>
        </w:rPr>
        <w:t>exceptional contemporary liberal arts education and academic and professional programs that are aligned with an increasingly competitive, global, and knowledge-based economy</w:t>
      </w:r>
      <w:r w:rsidR="008B402F" w:rsidRPr="00503CE0">
        <w:rPr>
          <w:szCs w:val="24"/>
        </w:rPr>
        <w:t xml:space="preserve"> is a major goal</w:t>
      </w:r>
      <w:r w:rsidR="00186506" w:rsidRPr="00503CE0">
        <w:rPr>
          <w:szCs w:val="24"/>
        </w:rPr>
        <w:t xml:space="preserve"> in the University’s strategic plan.</w:t>
      </w:r>
      <w:r w:rsidR="008B402F" w:rsidRPr="00503CE0">
        <w:rPr>
          <w:szCs w:val="24"/>
        </w:rPr>
        <w:t xml:space="preserve"> </w:t>
      </w:r>
      <w:r w:rsidR="00503CE0" w:rsidRPr="00503CE0">
        <w:rPr>
          <w:szCs w:val="24"/>
        </w:rPr>
        <w:t xml:space="preserve">For the MFR, </w:t>
      </w:r>
      <w:r w:rsidR="004909FE" w:rsidRPr="00503CE0">
        <w:rPr>
          <w:szCs w:val="24"/>
        </w:rPr>
        <w:t xml:space="preserve">quality and effectiveness </w:t>
      </w:r>
      <w:r w:rsidR="00B96FA3" w:rsidRPr="00503CE0">
        <w:rPr>
          <w:szCs w:val="24"/>
        </w:rPr>
        <w:t xml:space="preserve">are evaluated using retention and graduation rates. However, the excellence of </w:t>
      </w:r>
      <w:r w:rsidR="0080150E">
        <w:rPr>
          <w:szCs w:val="24"/>
        </w:rPr>
        <w:t>SU’s</w:t>
      </w:r>
      <w:r w:rsidR="00B96FA3" w:rsidRPr="00503CE0">
        <w:rPr>
          <w:szCs w:val="24"/>
        </w:rPr>
        <w:t xml:space="preserve"> undergraduate and graduate programs is also evidenced by the attainment and maintenance</w:t>
      </w:r>
      <w:r w:rsidR="004909FE" w:rsidRPr="00503CE0">
        <w:rPr>
          <w:szCs w:val="24"/>
        </w:rPr>
        <w:t xml:space="preserve"> </w:t>
      </w:r>
      <w:r w:rsidR="00B96FA3" w:rsidRPr="00503CE0">
        <w:rPr>
          <w:szCs w:val="24"/>
        </w:rPr>
        <w:t xml:space="preserve">of </w:t>
      </w:r>
      <w:r w:rsidR="004909FE" w:rsidRPr="00503CE0">
        <w:rPr>
          <w:szCs w:val="24"/>
        </w:rPr>
        <w:t>accreditation</w:t>
      </w:r>
      <w:r w:rsidR="00B96FA3" w:rsidRPr="00503CE0">
        <w:rPr>
          <w:szCs w:val="24"/>
        </w:rPr>
        <w:t xml:space="preserve"> by nationally recognized accrediting agencies</w:t>
      </w:r>
      <w:r w:rsidR="00DB0C99" w:rsidRPr="00503CE0">
        <w:rPr>
          <w:szCs w:val="24"/>
        </w:rPr>
        <w:t>.</w:t>
      </w:r>
      <w:r w:rsidR="00CB726D">
        <w:rPr>
          <w:szCs w:val="24"/>
        </w:rPr>
        <w:t xml:space="preserve"> </w:t>
      </w:r>
      <w:r w:rsidR="00CB726D" w:rsidRPr="007F44FA">
        <w:rPr>
          <w:szCs w:val="24"/>
        </w:rPr>
        <w:t xml:space="preserve">Once students graduate, the quality of the University </w:t>
      </w:r>
      <w:r w:rsidR="007F44FA" w:rsidRPr="007F44FA">
        <w:rPr>
          <w:szCs w:val="24"/>
        </w:rPr>
        <w:t xml:space="preserve">can be demonstrated by the </w:t>
      </w:r>
      <w:r w:rsidR="0080150E">
        <w:rPr>
          <w:szCs w:val="24"/>
        </w:rPr>
        <w:t>high</w:t>
      </w:r>
      <w:r w:rsidR="007F44FA" w:rsidRPr="007F44FA">
        <w:rPr>
          <w:szCs w:val="24"/>
        </w:rPr>
        <w:t xml:space="preserve"> percentage</w:t>
      </w:r>
      <w:r w:rsidR="007F44FA">
        <w:rPr>
          <w:szCs w:val="24"/>
        </w:rPr>
        <w:t xml:space="preserve"> of nursing and education students that go on to pass national certification exams. </w:t>
      </w:r>
    </w:p>
    <w:p w14:paraId="64051C02" w14:textId="77777777" w:rsidR="00162E17" w:rsidRDefault="00162E17" w:rsidP="00DF288A">
      <w:pPr>
        <w:spacing w:after="120"/>
        <w:rPr>
          <w:szCs w:val="24"/>
          <w:u w:val="single"/>
        </w:rPr>
      </w:pPr>
      <w:r w:rsidRPr="00F155A8">
        <w:rPr>
          <w:szCs w:val="24"/>
          <w:u w:val="single"/>
        </w:rPr>
        <w:t>Retention</w:t>
      </w:r>
      <w:r>
        <w:rPr>
          <w:szCs w:val="24"/>
          <w:u w:val="single"/>
        </w:rPr>
        <w:t xml:space="preserve"> and Graduation</w:t>
      </w:r>
    </w:p>
    <w:p w14:paraId="33106380" w14:textId="77777777" w:rsidR="00995975" w:rsidRPr="00995975" w:rsidRDefault="00162E17" w:rsidP="00995975">
      <w:pPr>
        <w:pStyle w:val="BodyText"/>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suppressAutoHyphens w:val="0"/>
        <w:spacing w:after="120"/>
        <w:rPr>
          <w:sz w:val="24"/>
          <w:szCs w:val="24"/>
        </w:rPr>
      </w:pPr>
      <w:r w:rsidRPr="00F155A8">
        <w:rPr>
          <w:sz w:val="24"/>
          <w:szCs w:val="24"/>
        </w:rPr>
        <w:t>At 8</w:t>
      </w:r>
      <w:r w:rsidR="00225229">
        <w:rPr>
          <w:sz w:val="24"/>
          <w:szCs w:val="24"/>
        </w:rPr>
        <w:t>5.5</w:t>
      </w:r>
      <w:r w:rsidR="00BB51BA">
        <w:rPr>
          <w:sz w:val="24"/>
          <w:szCs w:val="24"/>
        </w:rPr>
        <w:t>%</w:t>
      </w:r>
      <w:r w:rsidRPr="00F155A8">
        <w:rPr>
          <w:sz w:val="24"/>
          <w:szCs w:val="24"/>
        </w:rPr>
        <w:t>, the second</w:t>
      </w:r>
      <w:r>
        <w:rPr>
          <w:sz w:val="24"/>
          <w:szCs w:val="24"/>
        </w:rPr>
        <w:t>-</w:t>
      </w:r>
      <w:r w:rsidRPr="00F155A8">
        <w:rPr>
          <w:sz w:val="24"/>
          <w:szCs w:val="24"/>
        </w:rPr>
        <w:t>year retention rate</w:t>
      </w:r>
      <w:r w:rsidR="002E0F3C">
        <w:rPr>
          <w:sz w:val="24"/>
          <w:szCs w:val="24"/>
        </w:rPr>
        <w:t xml:space="preserve"> for </w:t>
      </w:r>
      <w:r w:rsidR="007761AB">
        <w:rPr>
          <w:sz w:val="24"/>
          <w:szCs w:val="24"/>
        </w:rPr>
        <w:t>the 20</w:t>
      </w:r>
      <w:r w:rsidR="00225229">
        <w:rPr>
          <w:sz w:val="24"/>
          <w:szCs w:val="24"/>
        </w:rPr>
        <w:t>10</w:t>
      </w:r>
      <w:r w:rsidR="00303A23">
        <w:rPr>
          <w:sz w:val="24"/>
          <w:szCs w:val="24"/>
        </w:rPr>
        <w:t xml:space="preserve"> entering cohort of freshmen </w:t>
      </w:r>
      <w:r w:rsidRPr="00F155A8">
        <w:rPr>
          <w:sz w:val="24"/>
          <w:szCs w:val="24"/>
        </w:rPr>
        <w:t xml:space="preserve">(Objective 4.1) </w:t>
      </w:r>
      <w:r w:rsidR="008E6968">
        <w:rPr>
          <w:sz w:val="24"/>
          <w:szCs w:val="24"/>
        </w:rPr>
        <w:t>increased</w:t>
      </w:r>
      <w:r w:rsidR="007761AB">
        <w:rPr>
          <w:sz w:val="24"/>
          <w:szCs w:val="24"/>
        </w:rPr>
        <w:t xml:space="preserve"> </w:t>
      </w:r>
      <w:r w:rsidR="007761AB" w:rsidRPr="008E6968">
        <w:rPr>
          <w:sz w:val="24"/>
          <w:szCs w:val="24"/>
        </w:rPr>
        <w:t>from</w:t>
      </w:r>
      <w:r w:rsidR="00963285" w:rsidRPr="008E6968">
        <w:rPr>
          <w:sz w:val="24"/>
          <w:szCs w:val="24"/>
        </w:rPr>
        <w:t xml:space="preserve"> </w:t>
      </w:r>
      <w:r w:rsidR="002A3014">
        <w:rPr>
          <w:sz w:val="24"/>
          <w:szCs w:val="24"/>
        </w:rPr>
        <w:t>the previous cohort (</w:t>
      </w:r>
      <w:r w:rsidR="00963285" w:rsidRPr="008E6968">
        <w:rPr>
          <w:sz w:val="24"/>
          <w:szCs w:val="24"/>
        </w:rPr>
        <w:t>8</w:t>
      </w:r>
      <w:r w:rsidR="00225229">
        <w:rPr>
          <w:sz w:val="24"/>
          <w:szCs w:val="24"/>
        </w:rPr>
        <w:t>4</w:t>
      </w:r>
      <w:r w:rsidR="008E6968" w:rsidRPr="008E6968">
        <w:rPr>
          <w:sz w:val="24"/>
          <w:szCs w:val="24"/>
        </w:rPr>
        <w:t>.</w:t>
      </w:r>
      <w:r w:rsidR="00225229">
        <w:rPr>
          <w:sz w:val="24"/>
          <w:szCs w:val="24"/>
        </w:rPr>
        <w:t>6</w:t>
      </w:r>
      <w:r w:rsidR="00963285" w:rsidRPr="008E6968">
        <w:rPr>
          <w:sz w:val="24"/>
          <w:szCs w:val="24"/>
        </w:rPr>
        <w:t>%</w:t>
      </w:r>
      <w:r w:rsidR="002A3014">
        <w:rPr>
          <w:sz w:val="24"/>
          <w:szCs w:val="24"/>
        </w:rPr>
        <w:t>)</w:t>
      </w:r>
      <w:r w:rsidR="00225229">
        <w:rPr>
          <w:sz w:val="24"/>
          <w:szCs w:val="24"/>
        </w:rPr>
        <w:t xml:space="preserve"> and for the second consecutive year</w:t>
      </w:r>
      <w:r w:rsidRPr="008E6968">
        <w:rPr>
          <w:sz w:val="24"/>
          <w:szCs w:val="24"/>
        </w:rPr>
        <w:t xml:space="preserve">. </w:t>
      </w:r>
      <w:r w:rsidR="008E6968" w:rsidRPr="008E6968">
        <w:rPr>
          <w:sz w:val="24"/>
          <w:szCs w:val="24"/>
        </w:rPr>
        <w:t>The 2</w:t>
      </w:r>
      <w:r w:rsidR="00225229">
        <w:rPr>
          <w:sz w:val="24"/>
          <w:szCs w:val="24"/>
        </w:rPr>
        <w:t>010</w:t>
      </w:r>
      <w:r w:rsidR="00963285" w:rsidRPr="008E6968">
        <w:rPr>
          <w:sz w:val="24"/>
          <w:szCs w:val="24"/>
        </w:rPr>
        <w:t xml:space="preserve"> cohort</w:t>
      </w:r>
      <w:r w:rsidR="009E639F" w:rsidRPr="008E6968">
        <w:rPr>
          <w:sz w:val="24"/>
          <w:szCs w:val="24"/>
        </w:rPr>
        <w:t xml:space="preserve"> included students</w:t>
      </w:r>
      <w:r w:rsidR="008E6968" w:rsidRPr="008E6968">
        <w:rPr>
          <w:sz w:val="24"/>
          <w:szCs w:val="24"/>
        </w:rPr>
        <w:t xml:space="preserve"> that started at SU in fall 20</w:t>
      </w:r>
      <w:r w:rsidR="00225229">
        <w:rPr>
          <w:sz w:val="24"/>
          <w:szCs w:val="24"/>
        </w:rPr>
        <w:t>10</w:t>
      </w:r>
      <w:r w:rsidR="009E639F" w:rsidRPr="008E6968">
        <w:rPr>
          <w:sz w:val="24"/>
          <w:szCs w:val="24"/>
        </w:rPr>
        <w:t xml:space="preserve"> and returned to SU or transferred to anot</w:t>
      </w:r>
      <w:r w:rsidR="008E6968" w:rsidRPr="008E6968">
        <w:rPr>
          <w:sz w:val="24"/>
          <w:szCs w:val="24"/>
        </w:rPr>
        <w:t xml:space="preserve">her </w:t>
      </w:r>
      <w:r w:rsidR="00D06630">
        <w:rPr>
          <w:sz w:val="24"/>
          <w:szCs w:val="24"/>
        </w:rPr>
        <w:t>Maryland</w:t>
      </w:r>
      <w:r w:rsidR="008E6968" w:rsidRPr="008E6968">
        <w:rPr>
          <w:sz w:val="24"/>
          <w:szCs w:val="24"/>
        </w:rPr>
        <w:t xml:space="preserve"> school for the fall 201</w:t>
      </w:r>
      <w:r w:rsidR="00225229">
        <w:rPr>
          <w:sz w:val="24"/>
          <w:szCs w:val="24"/>
        </w:rPr>
        <w:t>1</w:t>
      </w:r>
      <w:r w:rsidR="009E639F" w:rsidRPr="008E6968">
        <w:rPr>
          <w:sz w:val="24"/>
          <w:szCs w:val="24"/>
        </w:rPr>
        <w:t xml:space="preserve"> semester.</w:t>
      </w:r>
      <w:r w:rsidR="008E6968" w:rsidRPr="008E6968">
        <w:rPr>
          <w:sz w:val="24"/>
          <w:szCs w:val="24"/>
        </w:rPr>
        <w:t xml:space="preserve"> SU’s second-year retention rate is the secon</w:t>
      </w:r>
      <w:r w:rsidR="002A3014">
        <w:rPr>
          <w:sz w:val="24"/>
          <w:szCs w:val="24"/>
        </w:rPr>
        <w:t>d highest of the comprehensive S</w:t>
      </w:r>
      <w:r w:rsidR="008E6968" w:rsidRPr="008E6968">
        <w:rPr>
          <w:sz w:val="24"/>
          <w:szCs w:val="24"/>
        </w:rPr>
        <w:t xml:space="preserve">ystem schools, </w:t>
      </w:r>
      <w:r w:rsidR="00225229">
        <w:rPr>
          <w:sz w:val="24"/>
          <w:szCs w:val="24"/>
        </w:rPr>
        <w:t>less than one percentage point be</w:t>
      </w:r>
      <w:r w:rsidR="008E6968" w:rsidRPr="008E6968">
        <w:rPr>
          <w:sz w:val="24"/>
          <w:szCs w:val="24"/>
        </w:rPr>
        <w:t>low</w:t>
      </w:r>
      <w:r w:rsidR="00180616">
        <w:rPr>
          <w:sz w:val="24"/>
          <w:szCs w:val="24"/>
        </w:rPr>
        <w:t xml:space="preserve"> Towson University</w:t>
      </w:r>
      <w:r w:rsidR="00014DD8">
        <w:rPr>
          <w:sz w:val="24"/>
          <w:szCs w:val="24"/>
        </w:rPr>
        <w:t xml:space="preserve"> which had the highest rate among the comprehensives</w:t>
      </w:r>
      <w:r w:rsidR="008E6968" w:rsidRPr="008E6968">
        <w:rPr>
          <w:sz w:val="24"/>
          <w:szCs w:val="24"/>
        </w:rPr>
        <w:t>.</w:t>
      </w:r>
      <w:r w:rsidR="008E6968">
        <w:rPr>
          <w:sz w:val="24"/>
          <w:szCs w:val="24"/>
        </w:rPr>
        <w:t xml:space="preserve"> It appears that the expansion of supplemental instruction, freshmen seminars, and living</w:t>
      </w:r>
      <w:r w:rsidR="003D759D">
        <w:rPr>
          <w:sz w:val="24"/>
          <w:szCs w:val="24"/>
        </w:rPr>
        <w:t xml:space="preserve"> </w:t>
      </w:r>
      <w:r w:rsidR="008E6968">
        <w:rPr>
          <w:sz w:val="24"/>
          <w:szCs w:val="24"/>
        </w:rPr>
        <w:t>learning communities to include more students was successful in impr</w:t>
      </w:r>
      <w:r w:rsidR="0081394B">
        <w:rPr>
          <w:sz w:val="24"/>
          <w:szCs w:val="24"/>
        </w:rPr>
        <w:t>ov</w:t>
      </w:r>
      <w:r w:rsidR="008E6968">
        <w:rPr>
          <w:sz w:val="24"/>
          <w:szCs w:val="24"/>
        </w:rPr>
        <w:t>ing</w:t>
      </w:r>
      <w:r w:rsidR="0081394B">
        <w:rPr>
          <w:sz w:val="24"/>
          <w:szCs w:val="24"/>
        </w:rPr>
        <w:t xml:space="preserve"> retention rates. </w:t>
      </w:r>
    </w:p>
    <w:p w14:paraId="16C5F91F" w14:textId="77777777" w:rsidR="0060623D" w:rsidRDefault="00162E17" w:rsidP="00DF288A">
      <w:pPr>
        <w:pStyle w:val="BodyText"/>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suppressAutoHyphens w:val="0"/>
        <w:spacing w:after="120"/>
        <w:rPr>
          <w:sz w:val="24"/>
          <w:szCs w:val="24"/>
        </w:rPr>
      </w:pPr>
      <w:r w:rsidRPr="00A20C5C">
        <w:rPr>
          <w:sz w:val="24"/>
          <w:szCs w:val="24"/>
        </w:rPr>
        <w:t xml:space="preserve">Objectives 4.2 and 4.3 provide additional information regarding second-year retention with a special focus on </w:t>
      </w:r>
      <w:r w:rsidR="00494E6A">
        <w:rPr>
          <w:sz w:val="24"/>
          <w:szCs w:val="24"/>
        </w:rPr>
        <w:t>African-American</w:t>
      </w:r>
      <w:r w:rsidR="00303A23" w:rsidRPr="00A20C5C">
        <w:rPr>
          <w:sz w:val="24"/>
          <w:szCs w:val="24"/>
        </w:rPr>
        <w:t xml:space="preserve"> and </w:t>
      </w:r>
      <w:r w:rsidR="001F588A" w:rsidRPr="00A20C5C">
        <w:rPr>
          <w:sz w:val="24"/>
          <w:szCs w:val="24"/>
        </w:rPr>
        <w:t xml:space="preserve">all </w:t>
      </w:r>
      <w:r w:rsidR="001E5501" w:rsidRPr="00A20C5C">
        <w:rPr>
          <w:sz w:val="24"/>
          <w:szCs w:val="24"/>
        </w:rPr>
        <w:t>minority students</w:t>
      </w:r>
      <w:r w:rsidR="00EE36CA">
        <w:rPr>
          <w:sz w:val="24"/>
          <w:szCs w:val="24"/>
        </w:rPr>
        <w:t>. S</w:t>
      </w:r>
      <w:r w:rsidR="00303A23" w:rsidRPr="00A20C5C">
        <w:rPr>
          <w:sz w:val="24"/>
          <w:szCs w:val="24"/>
        </w:rPr>
        <w:t xml:space="preserve">econd-year retention </w:t>
      </w:r>
      <w:r w:rsidR="00EE36CA">
        <w:rPr>
          <w:sz w:val="24"/>
          <w:szCs w:val="24"/>
        </w:rPr>
        <w:t xml:space="preserve">rates for African-American students </w:t>
      </w:r>
      <w:r w:rsidR="001E5501" w:rsidRPr="00A20C5C">
        <w:rPr>
          <w:sz w:val="24"/>
          <w:szCs w:val="24"/>
        </w:rPr>
        <w:t xml:space="preserve">increased </w:t>
      </w:r>
      <w:r w:rsidR="007C3B56">
        <w:rPr>
          <w:sz w:val="24"/>
          <w:szCs w:val="24"/>
        </w:rPr>
        <w:t>2.1</w:t>
      </w:r>
      <w:r w:rsidR="00F273DD" w:rsidRPr="00A20C5C">
        <w:rPr>
          <w:sz w:val="24"/>
          <w:szCs w:val="24"/>
        </w:rPr>
        <w:t xml:space="preserve"> percentage points</w:t>
      </w:r>
      <w:r w:rsidRPr="00A20C5C">
        <w:rPr>
          <w:sz w:val="24"/>
          <w:szCs w:val="24"/>
        </w:rPr>
        <w:t xml:space="preserve"> </w:t>
      </w:r>
      <w:r w:rsidR="00EE36CA">
        <w:rPr>
          <w:sz w:val="24"/>
          <w:szCs w:val="24"/>
        </w:rPr>
        <w:t>this</w:t>
      </w:r>
      <w:r w:rsidRPr="00A20C5C">
        <w:rPr>
          <w:sz w:val="24"/>
          <w:szCs w:val="24"/>
        </w:rPr>
        <w:t xml:space="preserve"> year</w:t>
      </w:r>
      <w:r w:rsidR="002A3014">
        <w:rPr>
          <w:sz w:val="24"/>
          <w:szCs w:val="24"/>
        </w:rPr>
        <w:t>. Approximately</w:t>
      </w:r>
      <w:r w:rsidR="001E5501" w:rsidRPr="00A20C5C">
        <w:rPr>
          <w:sz w:val="24"/>
          <w:szCs w:val="24"/>
        </w:rPr>
        <w:t xml:space="preserve"> </w:t>
      </w:r>
      <w:r w:rsidR="008E6968" w:rsidRPr="00A20C5C">
        <w:rPr>
          <w:sz w:val="24"/>
          <w:szCs w:val="24"/>
        </w:rPr>
        <w:t>8</w:t>
      </w:r>
      <w:r w:rsidR="007C3B56">
        <w:rPr>
          <w:sz w:val="24"/>
          <w:szCs w:val="24"/>
        </w:rPr>
        <w:t>5.4</w:t>
      </w:r>
      <w:r w:rsidR="001E5501" w:rsidRPr="00A20C5C">
        <w:rPr>
          <w:sz w:val="24"/>
          <w:szCs w:val="24"/>
        </w:rPr>
        <w:t>%</w:t>
      </w:r>
      <w:r w:rsidRPr="00A20C5C">
        <w:rPr>
          <w:sz w:val="24"/>
          <w:szCs w:val="24"/>
        </w:rPr>
        <w:t xml:space="preserve"> of </w:t>
      </w:r>
      <w:r w:rsidR="00494E6A">
        <w:rPr>
          <w:sz w:val="24"/>
          <w:szCs w:val="24"/>
        </w:rPr>
        <w:t>African-American</w:t>
      </w:r>
      <w:r w:rsidRPr="00A20C5C">
        <w:rPr>
          <w:sz w:val="24"/>
          <w:szCs w:val="24"/>
        </w:rPr>
        <w:t xml:space="preserve"> students were r</w:t>
      </w:r>
      <w:r w:rsidR="00303A23" w:rsidRPr="00A20C5C">
        <w:rPr>
          <w:sz w:val="24"/>
          <w:szCs w:val="24"/>
        </w:rPr>
        <w:t xml:space="preserve">etained </w:t>
      </w:r>
      <w:r w:rsidR="00EE36CA">
        <w:rPr>
          <w:sz w:val="24"/>
          <w:szCs w:val="24"/>
        </w:rPr>
        <w:t>into</w:t>
      </w:r>
      <w:r w:rsidR="00303A23" w:rsidRPr="00A20C5C">
        <w:rPr>
          <w:sz w:val="24"/>
          <w:szCs w:val="24"/>
        </w:rPr>
        <w:t xml:space="preserve"> their second year.</w:t>
      </w:r>
      <w:r w:rsidR="00A20C5C" w:rsidRPr="00A20C5C">
        <w:rPr>
          <w:sz w:val="24"/>
          <w:szCs w:val="24"/>
        </w:rPr>
        <w:t xml:space="preserve"> The rate for </w:t>
      </w:r>
      <w:r w:rsidR="00494E6A">
        <w:rPr>
          <w:sz w:val="24"/>
          <w:szCs w:val="24"/>
        </w:rPr>
        <w:t>African-American</w:t>
      </w:r>
      <w:r w:rsidR="00A20C5C" w:rsidRPr="00A20C5C">
        <w:rPr>
          <w:sz w:val="24"/>
          <w:szCs w:val="24"/>
        </w:rPr>
        <w:t xml:space="preserve"> students has increased </w:t>
      </w:r>
      <w:r w:rsidR="007C3B56">
        <w:rPr>
          <w:sz w:val="24"/>
          <w:szCs w:val="24"/>
        </w:rPr>
        <w:t>6.3</w:t>
      </w:r>
      <w:r w:rsidR="00A20C5C" w:rsidRPr="00A20C5C">
        <w:rPr>
          <w:sz w:val="24"/>
          <w:szCs w:val="24"/>
        </w:rPr>
        <w:t xml:space="preserve"> percentage</w:t>
      </w:r>
      <w:r w:rsidR="001E5501" w:rsidRPr="00A20C5C">
        <w:rPr>
          <w:sz w:val="24"/>
          <w:szCs w:val="24"/>
        </w:rPr>
        <w:t xml:space="preserve"> </w:t>
      </w:r>
      <w:r w:rsidR="00A20C5C" w:rsidRPr="00A20C5C">
        <w:rPr>
          <w:sz w:val="24"/>
          <w:szCs w:val="24"/>
        </w:rPr>
        <w:t>points since 2009.</w:t>
      </w:r>
      <w:r w:rsidR="00E33E4E">
        <w:rPr>
          <w:sz w:val="24"/>
          <w:szCs w:val="24"/>
        </w:rPr>
        <w:t xml:space="preserve"> </w:t>
      </w:r>
      <w:r w:rsidR="001E5501" w:rsidRPr="00A20C5C">
        <w:rPr>
          <w:sz w:val="24"/>
          <w:szCs w:val="24"/>
        </w:rPr>
        <w:t>Results also revealed an increase in</w:t>
      </w:r>
      <w:r w:rsidR="00203692" w:rsidRPr="00A20C5C">
        <w:rPr>
          <w:sz w:val="24"/>
          <w:szCs w:val="24"/>
        </w:rPr>
        <w:t xml:space="preserve"> second-year retention</w:t>
      </w:r>
      <w:r w:rsidR="001E5501" w:rsidRPr="00A20C5C">
        <w:rPr>
          <w:sz w:val="24"/>
          <w:szCs w:val="24"/>
        </w:rPr>
        <w:t xml:space="preserve"> rates</w:t>
      </w:r>
      <w:r w:rsidR="00203692" w:rsidRPr="00A20C5C">
        <w:rPr>
          <w:sz w:val="24"/>
          <w:szCs w:val="24"/>
        </w:rPr>
        <w:t xml:space="preserve"> for</w:t>
      </w:r>
      <w:r w:rsidRPr="00A20C5C">
        <w:rPr>
          <w:sz w:val="24"/>
          <w:szCs w:val="24"/>
        </w:rPr>
        <w:t xml:space="preserve"> </w:t>
      </w:r>
      <w:r w:rsidR="001F588A" w:rsidRPr="00A20C5C">
        <w:rPr>
          <w:sz w:val="24"/>
          <w:szCs w:val="24"/>
        </w:rPr>
        <w:t xml:space="preserve">all </w:t>
      </w:r>
      <w:r w:rsidRPr="00A20C5C">
        <w:rPr>
          <w:sz w:val="24"/>
          <w:szCs w:val="24"/>
        </w:rPr>
        <w:t xml:space="preserve">minority students at SU. Second-year retention rates for minority students </w:t>
      </w:r>
      <w:r w:rsidR="001F588A" w:rsidRPr="00A20C5C">
        <w:rPr>
          <w:sz w:val="24"/>
          <w:szCs w:val="24"/>
        </w:rPr>
        <w:t>in</w:t>
      </w:r>
      <w:r w:rsidR="00303A23" w:rsidRPr="00A20C5C">
        <w:rPr>
          <w:sz w:val="24"/>
          <w:szCs w:val="24"/>
        </w:rPr>
        <w:t xml:space="preserve">creased by </w:t>
      </w:r>
      <w:r w:rsidR="00A20C5C" w:rsidRPr="00A20C5C">
        <w:rPr>
          <w:sz w:val="24"/>
          <w:szCs w:val="24"/>
        </w:rPr>
        <w:t>2.4</w:t>
      </w:r>
      <w:r w:rsidR="001E5501" w:rsidRPr="00A20C5C">
        <w:rPr>
          <w:sz w:val="24"/>
          <w:szCs w:val="24"/>
        </w:rPr>
        <w:t xml:space="preserve"> percentage point</w:t>
      </w:r>
      <w:r w:rsidR="00EE36CA">
        <w:rPr>
          <w:sz w:val="24"/>
          <w:szCs w:val="24"/>
        </w:rPr>
        <w:t>s</w:t>
      </w:r>
      <w:r w:rsidR="00F273DD" w:rsidRPr="00A20C5C">
        <w:rPr>
          <w:sz w:val="24"/>
          <w:szCs w:val="24"/>
        </w:rPr>
        <w:t xml:space="preserve"> </w:t>
      </w:r>
      <w:r w:rsidR="00EE36CA">
        <w:rPr>
          <w:sz w:val="24"/>
          <w:szCs w:val="24"/>
        </w:rPr>
        <w:t>this year</w:t>
      </w:r>
      <w:r w:rsidRPr="00A20C5C">
        <w:rPr>
          <w:sz w:val="24"/>
          <w:szCs w:val="24"/>
        </w:rPr>
        <w:t xml:space="preserve"> to a rate of </w:t>
      </w:r>
      <w:r w:rsidR="00A20C5C" w:rsidRPr="00A20C5C">
        <w:rPr>
          <w:sz w:val="24"/>
          <w:szCs w:val="24"/>
        </w:rPr>
        <w:t>8</w:t>
      </w:r>
      <w:r w:rsidR="007C3B56">
        <w:rPr>
          <w:sz w:val="24"/>
          <w:szCs w:val="24"/>
        </w:rPr>
        <w:t>6.4</w:t>
      </w:r>
      <w:r w:rsidRPr="00A20C5C">
        <w:rPr>
          <w:sz w:val="24"/>
          <w:szCs w:val="24"/>
        </w:rPr>
        <w:t xml:space="preserve">%. </w:t>
      </w:r>
      <w:r w:rsidR="00A20C5C" w:rsidRPr="00A20C5C">
        <w:rPr>
          <w:sz w:val="24"/>
          <w:szCs w:val="24"/>
        </w:rPr>
        <w:t xml:space="preserve">Minority second-year retention rates have increased </w:t>
      </w:r>
      <w:r w:rsidR="007C3B56">
        <w:rPr>
          <w:sz w:val="24"/>
          <w:szCs w:val="24"/>
        </w:rPr>
        <w:t>5.9</w:t>
      </w:r>
      <w:r w:rsidR="00A20C5C" w:rsidRPr="00A20C5C">
        <w:rPr>
          <w:sz w:val="24"/>
          <w:szCs w:val="24"/>
        </w:rPr>
        <w:t xml:space="preserve"> percentage points </w:t>
      </w:r>
      <w:r w:rsidR="007C3B56">
        <w:rPr>
          <w:sz w:val="24"/>
          <w:szCs w:val="24"/>
        </w:rPr>
        <w:t>since 2009</w:t>
      </w:r>
      <w:r w:rsidR="00A20C5C" w:rsidRPr="00A20C5C">
        <w:rPr>
          <w:sz w:val="24"/>
          <w:szCs w:val="24"/>
        </w:rPr>
        <w:t>.</w:t>
      </w:r>
      <w:r w:rsidR="007C3B56">
        <w:rPr>
          <w:sz w:val="24"/>
          <w:szCs w:val="24"/>
        </w:rPr>
        <w:t xml:space="preserve"> </w:t>
      </w:r>
      <w:r w:rsidR="00014DD8">
        <w:rPr>
          <w:sz w:val="24"/>
          <w:szCs w:val="24"/>
        </w:rPr>
        <w:t xml:space="preserve">SU’s commitment to close the achievement gap is evidenced in higher retention rates for minority students when compared to overall retention rates. </w:t>
      </w:r>
      <w:r w:rsidR="007C3B56">
        <w:rPr>
          <w:sz w:val="24"/>
          <w:szCs w:val="24"/>
        </w:rPr>
        <w:t xml:space="preserve">SU is currently exceeding its 2014 retention rate goals for </w:t>
      </w:r>
      <w:r w:rsidR="00014DD8">
        <w:rPr>
          <w:sz w:val="24"/>
          <w:szCs w:val="24"/>
        </w:rPr>
        <w:t xml:space="preserve">African-American and all </w:t>
      </w:r>
      <w:r w:rsidR="007C3B56">
        <w:rPr>
          <w:sz w:val="24"/>
          <w:szCs w:val="24"/>
        </w:rPr>
        <w:t>minority students.</w:t>
      </w:r>
    </w:p>
    <w:p w14:paraId="43F2E903" w14:textId="77777777" w:rsidR="00162E17" w:rsidRDefault="00322C23" w:rsidP="005A3F42">
      <w:pPr>
        <w:pStyle w:val="BodyText"/>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suppressAutoHyphens w:val="0"/>
        <w:spacing w:after="120"/>
        <w:rPr>
          <w:sz w:val="24"/>
          <w:szCs w:val="24"/>
        </w:rPr>
      </w:pPr>
      <w:r w:rsidRPr="00DD4BCC">
        <w:rPr>
          <w:sz w:val="24"/>
          <w:szCs w:val="24"/>
        </w:rPr>
        <w:t>Currently, SU’s overall six-year</w:t>
      </w:r>
      <w:r w:rsidR="00162E17" w:rsidRPr="00DD4BCC">
        <w:rPr>
          <w:sz w:val="24"/>
          <w:szCs w:val="24"/>
        </w:rPr>
        <w:t xml:space="preserve"> graduation rate </w:t>
      </w:r>
      <w:r w:rsidR="00A20C5C">
        <w:rPr>
          <w:sz w:val="24"/>
          <w:szCs w:val="24"/>
        </w:rPr>
        <w:t>is 7</w:t>
      </w:r>
      <w:r w:rsidR="00620928">
        <w:rPr>
          <w:sz w:val="24"/>
          <w:szCs w:val="24"/>
        </w:rPr>
        <w:t>1.6</w:t>
      </w:r>
      <w:r w:rsidRPr="00DD4BCC">
        <w:rPr>
          <w:sz w:val="24"/>
          <w:szCs w:val="24"/>
        </w:rPr>
        <w:t>%</w:t>
      </w:r>
      <w:r w:rsidR="00162E17" w:rsidRPr="00DD4BCC">
        <w:rPr>
          <w:sz w:val="24"/>
          <w:szCs w:val="24"/>
        </w:rPr>
        <w:t xml:space="preserve"> (Objective 4.4)</w:t>
      </w:r>
      <w:r w:rsidRPr="00DD4BCC">
        <w:rPr>
          <w:sz w:val="24"/>
          <w:szCs w:val="24"/>
        </w:rPr>
        <w:t>. Th</w:t>
      </w:r>
      <w:r w:rsidR="00620928">
        <w:rPr>
          <w:sz w:val="24"/>
          <w:szCs w:val="24"/>
        </w:rPr>
        <w:t xml:space="preserve">e rate declined from last year’s high of 76.7%. While </w:t>
      </w:r>
      <w:r w:rsidR="00162E17" w:rsidRPr="00DD4BCC">
        <w:rPr>
          <w:sz w:val="24"/>
          <w:szCs w:val="24"/>
        </w:rPr>
        <w:t xml:space="preserve">SU’s </w:t>
      </w:r>
      <w:r w:rsidR="00620928">
        <w:rPr>
          <w:sz w:val="24"/>
          <w:szCs w:val="24"/>
        </w:rPr>
        <w:t xml:space="preserve">rate declined, our </w:t>
      </w:r>
      <w:r w:rsidR="00162E17" w:rsidRPr="00A20C5C">
        <w:rPr>
          <w:sz w:val="24"/>
          <w:szCs w:val="24"/>
        </w:rPr>
        <w:t>a</w:t>
      </w:r>
      <w:r w:rsidR="00EE36CA">
        <w:rPr>
          <w:sz w:val="24"/>
          <w:szCs w:val="24"/>
        </w:rPr>
        <w:t>verage six-year graduation rate is</w:t>
      </w:r>
      <w:r w:rsidR="00162E17" w:rsidRPr="00A20C5C">
        <w:rPr>
          <w:sz w:val="24"/>
          <w:szCs w:val="24"/>
        </w:rPr>
        <w:t xml:space="preserve"> the</w:t>
      </w:r>
      <w:r w:rsidR="007522FF" w:rsidRPr="00A20C5C">
        <w:rPr>
          <w:sz w:val="24"/>
          <w:szCs w:val="24"/>
        </w:rPr>
        <w:t xml:space="preserve"> </w:t>
      </w:r>
      <w:r w:rsidR="00162E17" w:rsidRPr="00A20C5C">
        <w:rPr>
          <w:sz w:val="24"/>
          <w:szCs w:val="24"/>
        </w:rPr>
        <w:t>highest among the USM</w:t>
      </w:r>
      <w:r w:rsidR="007522FF" w:rsidRPr="00A20C5C">
        <w:rPr>
          <w:sz w:val="24"/>
          <w:szCs w:val="24"/>
        </w:rPr>
        <w:t xml:space="preserve"> comprehensive</w:t>
      </w:r>
      <w:r w:rsidR="00EE36CA">
        <w:rPr>
          <w:sz w:val="24"/>
          <w:szCs w:val="24"/>
        </w:rPr>
        <w:t xml:space="preserve"> institutions</w:t>
      </w:r>
      <w:r w:rsidR="00162E17" w:rsidRPr="00A20C5C">
        <w:rPr>
          <w:sz w:val="24"/>
          <w:szCs w:val="24"/>
        </w:rPr>
        <w:t xml:space="preserve">. </w:t>
      </w:r>
      <w:r w:rsidR="00FA306A">
        <w:rPr>
          <w:sz w:val="24"/>
          <w:szCs w:val="24"/>
        </w:rPr>
        <w:t xml:space="preserve">System-wide, six-year graduation rates declined an average of 2.4 percentage points. Including SU, five USM schools experienced decreased graduation rates this year.  </w:t>
      </w:r>
    </w:p>
    <w:p w14:paraId="58E1EE42" w14:textId="77777777" w:rsidR="00F474E8" w:rsidRDefault="00401D88" w:rsidP="00F474E8">
      <w:pPr>
        <w:spacing w:after="120"/>
        <w:rPr>
          <w:szCs w:val="24"/>
        </w:rPr>
      </w:pPr>
      <w:r w:rsidRPr="00E61039">
        <w:rPr>
          <w:szCs w:val="24"/>
        </w:rPr>
        <w:lastRenderedPageBreak/>
        <w:t xml:space="preserve">Progress towards our </w:t>
      </w:r>
      <w:r w:rsidRPr="008912AF">
        <w:rPr>
          <w:szCs w:val="24"/>
        </w:rPr>
        <w:t>graduation</w:t>
      </w:r>
      <w:r w:rsidRPr="00E61039">
        <w:rPr>
          <w:szCs w:val="24"/>
        </w:rPr>
        <w:t xml:space="preserve"> goals for </w:t>
      </w:r>
      <w:r w:rsidR="00494E6A">
        <w:rPr>
          <w:szCs w:val="24"/>
        </w:rPr>
        <w:t>African-American</w:t>
      </w:r>
      <w:r w:rsidRPr="00E61039">
        <w:rPr>
          <w:szCs w:val="24"/>
        </w:rPr>
        <w:t xml:space="preserve"> (Objective 4.5) and minori</w:t>
      </w:r>
      <w:r>
        <w:rPr>
          <w:szCs w:val="24"/>
        </w:rPr>
        <w:t xml:space="preserve">ty (Objective 4.6) students </w:t>
      </w:r>
      <w:r w:rsidR="002A3014">
        <w:rPr>
          <w:szCs w:val="24"/>
        </w:rPr>
        <w:t>was</w:t>
      </w:r>
      <w:r w:rsidR="00B05F7E">
        <w:rPr>
          <w:szCs w:val="24"/>
        </w:rPr>
        <w:t xml:space="preserve"> mixed. Compared to 2011</w:t>
      </w:r>
      <w:r w:rsidRPr="00E61039">
        <w:rPr>
          <w:szCs w:val="24"/>
        </w:rPr>
        <w:t xml:space="preserve"> rates</w:t>
      </w:r>
      <w:r w:rsidR="00B05F7E">
        <w:rPr>
          <w:szCs w:val="24"/>
        </w:rPr>
        <w:t xml:space="preserve">, the University experienced a 2.8 percentage point </w:t>
      </w:r>
      <w:r w:rsidRPr="00E61039">
        <w:rPr>
          <w:szCs w:val="24"/>
        </w:rPr>
        <w:t>in</w:t>
      </w:r>
      <w:r w:rsidR="00B05F7E">
        <w:rPr>
          <w:szCs w:val="24"/>
        </w:rPr>
        <w:t>crease in</w:t>
      </w:r>
      <w:r w:rsidRPr="00E61039">
        <w:rPr>
          <w:szCs w:val="24"/>
        </w:rPr>
        <w:t xml:space="preserve"> six-year graduation rates for </w:t>
      </w:r>
      <w:r w:rsidR="00494E6A">
        <w:rPr>
          <w:szCs w:val="24"/>
        </w:rPr>
        <w:t>African-American</w:t>
      </w:r>
      <w:r>
        <w:rPr>
          <w:szCs w:val="24"/>
        </w:rPr>
        <w:t xml:space="preserve"> students to a rate of 6</w:t>
      </w:r>
      <w:r w:rsidR="00B05F7E">
        <w:rPr>
          <w:szCs w:val="24"/>
        </w:rPr>
        <w:t>2.8</w:t>
      </w:r>
      <w:r>
        <w:rPr>
          <w:szCs w:val="24"/>
        </w:rPr>
        <w:t xml:space="preserve">%. </w:t>
      </w:r>
      <w:r w:rsidR="00B05F7E">
        <w:rPr>
          <w:szCs w:val="24"/>
        </w:rPr>
        <w:t xml:space="preserve">SU has the highest six-year African-American graduation rate among the USM comprehensive institutions. </w:t>
      </w:r>
    </w:p>
    <w:p w14:paraId="6E7E2F78" w14:textId="77777777" w:rsidR="00401D88" w:rsidRDefault="00B05F7E" w:rsidP="00401D88">
      <w:pPr>
        <w:spacing w:after="120"/>
        <w:rPr>
          <w:szCs w:val="24"/>
        </w:rPr>
      </w:pPr>
      <w:r>
        <w:rPr>
          <w:szCs w:val="24"/>
        </w:rPr>
        <w:t>T</w:t>
      </w:r>
      <w:r w:rsidR="002A3014">
        <w:rPr>
          <w:szCs w:val="24"/>
        </w:rPr>
        <w:t xml:space="preserve">he </w:t>
      </w:r>
      <w:r w:rsidR="00F474E8">
        <w:rPr>
          <w:szCs w:val="24"/>
        </w:rPr>
        <w:t>s</w:t>
      </w:r>
      <w:r w:rsidR="00401D88">
        <w:rPr>
          <w:szCs w:val="24"/>
        </w:rPr>
        <w:t>ix-year graduation rate for minority students at SU showed</w:t>
      </w:r>
      <w:r w:rsidR="00A40CCC">
        <w:rPr>
          <w:szCs w:val="24"/>
        </w:rPr>
        <w:t xml:space="preserve"> its</w:t>
      </w:r>
      <w:r>
        <w:rPr>
          <w:szCs w:val="24"/>
        </w:rPr>
        <w:t xml:space="preserve"> first decline in four years.</w:t>
      </w:r>
      <w:r w:rsidR="00A40CCC">
        <w:rPr>
          <w:szCs w:val="24"/>
        </w:rPr>
        <w:t xml:space="preserve"> </w:t>
      </w:r>
      <w:r>
        <w:rPr>
          <w:szCs w:val="24"/>
        </w:rPr>
        <w:t>However, a</w:t>
      </w:r>
      <w:r w:rsidR="00A40CCC">
        <w:rPr>
          <w:szCs w:val="24"/>
        </w:rPr>
        <w:t>t 6</w:t>
      </w:r>
      <w:r>
        <w:rPr>
          <w:szCs w:val="24"/>
        </w:rPr>
        <w:t>3.2</w:t>
      </w:r>
      <w:r w:rsidR="00A40CCC">
        <w:rPr>
          <w:szCs w:val="24"/>
        </w:rPr>
        <w:t xml:space="preserve">%, </w:t>
      </w:r>
      <w:r>
        <w:rPr>
          <w:szCs w:val="24"/>
        </w:rPr>
        <w:t xml:space="preserve">the </w:t>
      </w:r>
      <w:r w:rsidR="00A40CCC">
        <w:rPr>
          <w:szCs w:val="24"/>
        </w:rPr>
        <w:t>six-year</w:t>
      </w:r>
      <w:r w:rsidR="00401D88">
        <w:rPr>
          <w:szCs w:val="24"/>
        </w:rPr>
        <w:t xml:space="preserve"> graduation rate for this group </w:t>
      </w:r>
      <w:r w:rsidR="002A3014">
        <w:rPr>
          <w:szCs w:val="24"/>
        </w:rPr>
        <w:t>is</w:t>
      </w:r>
      <w:r w:rsidR="00A40CCC">
        <w:rPr>
          <w:szCs w:val="24"/>
        </w:rPr>
        <w:t xml:space="preserve"> the highest among the USM comprehensive institutions. </w:t>
      </w:r>
      <w:r>
        <w:rPr>
          <w:szCs w:val="24"/>
        </w:rPr>
        <w:t xml:space="preserve">When the rate was examined, it appeared that the drop was actually based on a lower rate of graduation following a transfer from SU to another Maryland institution. Approximately </w:t>
      </w:r>
      <w:r w:rsidR="000E1728">
        <w:rPr>
          <w:szCs w:val="24"/>
        </w:rPr>
        <w:t>59.7</w:t>
      </w:r>
      <w:r>
        <w:rPr>
          <w:szCs w:val="24"/>
        </w:rPr>
        <w:t>% of the 2005 cohort of minority students graduated from SU within six years. This is a</w:t>
      </w:r>
      <w:r w:rsidR="000E1728">
        <w:rPr>
          <w:szCs w:val="24"/>
        </w:rPr>
        <w:t xml:space="preserve"> 2.1 percentage point increase over the 2004 cohort (57.6% graduated from SU within six years). However, only 3.5% of SU transfer</w:t>
      </w:r>
      <w:r w:rsidR="00FC241B">
        <w:rPr>
          <w:szCs w:val="24"/>
        </w:rPr>
        <w:t xml:space="preserve"> students (2005 cohort)</w:t>
      </w:r>
      <w:r w:rsidR="000E1728">
        <w:rPr>
          <w:szCs w:val="24"/>
        </w:rPr>
        <w:t xml:space="preserve"> graduated from the Maryland school they transferred to after attending SU, compared to a 10.4% six-year transfer graduation rate for the 2004 cohort. </w:t>
      </w:r>
      <w:r w:rsidR="001073C0">
        <w:rPr>
          <w:szCs w:val="24"/>
        </w:rPr>
        <w:t xml:space="preserve">Thus, minority students that stay at SU are actually graduating at higher rates this year. </w:t>
      </w:r>
      <w:r>
        <w:rPr>
          <w:szCs w:val="24"/>
        </w:rPr>
        <w:t xml:space="preserve">It is believed that the minority achievement initiatives instituted during the three previous academic years will positively influence future </w:t>
      </w:r>
      <w:r w:rsidR="001073C0">
        <w:rPr>
          <w:szCs w:val="24"/>
        </w:rPr>
        <w:t xml:space="preserve">minority </w:t>
      </w:r>
      <w:r>
        <w:rPr>
          <w:szCs w:val="24"/>
        </w:rPr>
        <w:t>student</w:t>
      </w:r>
      <w:r w:rsidR="001073C0">
        <w:rPr>
          <w:szCs w:val="24"/>
        </w:rPr>
        <w:t>s to stay at SU and further improve</w:t>
      </w:r>
      <w:r>
        <w:rPr>
          <w:szCs w:val="24"/>
        </w:rPr>
        <w:t xml:space="preserve"> </w:t>
      </w:r>
      <w:r w:rsidRPr="008912AF">
        <w:rPr>
          <w:szCs w:val="24"/>
        </w:rPr>
        <w:t>graduation</w:t>
      </w:r>
      <w:r>
        <w:rPr>
          <w:szCs w:val="24"/>
        </w:rPr>
        <w:t xml:space="preserve"> rates.</w:t>
      </w:r>
    </w:p>
    <w:p w14:paraId="79EFF218" w14:textId="77777777" w:rsidR="00162E17" w:rsidRDefault="00162E17" w:rsidP="00DF288A">
      <w:pPr>
        <w:pStyle w:val="QuickA"/>
        <w:numPr>
          <w:ilvl w:val="0"/>
          <w:numId w:val="0"/>
        </w:numPr>
        <w:tabs>
          <w:tab w:val="left" w:pos="-720"/>
        </w:tabs>
        <w:spacing w:after="120"/>
        <w:rPr>
          <w:szCs w:val="24"/>
        </w:rPr>
      </w:pPr>
      <w:r w:rsidRPr="00F155A8">
        <w:rPr>
          <w:szCs w:val="24"/>
          <w:u w:val="single"/>
        </w:rPr>
        <w:t>Accreditations</w:t>
      </w:r>
      <w:r w:rsidR="00E33E4E">
        <w:rPr>
          <w:szCs w:val="24"/>
        </w:rPr>
        <w:t xml:space="preserve">  </w:t>
      </w:r>
      <w:r w:rsidRPr="00F155A8">
        <w:rPr>
          <w:szCs w:val="24"/>
        </w:rPr>
        <w:t xml:space="preserve"> </w:t>
      </w:r>
    </w:p>
    <w:p w14:paraId="05278B51" w14:textId="77777777" w:rsidR="00162E17" w:rsidRPr="00065B06" w:rsidRDefault="00162E17" w:rsidP="00C942A2">
      <w:pPr>
        <w:pStyle w:val="QuickA"/>
        <w:numPr>
          <w:ilvl w:val="0"/>
          <w:numId w:val="0"/>
        </w:numPr>
        <w:tabs>
          <w:tab w:val="left" w:pos="-720"/>
        </w:tabs>
        <w:spacing w:after="120"/>
        <w:rPr>
          <w:szCs w:val="24"/>
        </w:rPr>
      </w:pPr>
      <w:r>
        <w:rPr>
          <w:szCs w:val="24"/>
        </w:rPr>
        <w:t xml:space="preserve">An additional indicator of the quality and effectiveness of SU </w:t>
      </w:r>
      <w:r w:rsidR="00433B7B">
        <w:rPr>
          <w:szCs w:val="24"/>
        </w:rPr>
        <w:t>is its</w:t>
      </w:r>
      <w:r>
        <w:rPr>
          <w:szCs w:val="24"/>
        </w:rPr>
        <w:t xml:space="preserve"> ability to obtain and maintain </w:t>
      </w:r>
      <w:r w:rsidRPr="00065B06">
        <w:rPr>
          <w:szCs w:val="24"/>
        </w:rPr>
        <w:t>national accreditations. Several academic programs are accredited:</w:t>
      </w:r>
    </w:p>
    <w:p w14:paraId="59185AFF" w14:textId="77777777" w:rsidR="004547A7" w:rsidRPr="001D6D3D" w:rsidRDefault="00433B7B" w:rsidP="00EC11C2">
      <w:pPr>
        <w:pStyle w:val="QuickA"/>
        <w:numPr>
          <w:ilvl w:val="0"/>
          <w:numId w:val="13"/>
        </w:numPr>
        <w:tabs>
          <w:tab w:val="left" w:pos="-720"/>
          <w:tab w:val="num" w:pos="720"/>
        </w:tabs>
        <w:spacing w:after="120"/>
        <w:rPr>
          <w:szCs w:val="24"/>
        </w:rPr>
      </w:pPr>
      <w:r w:rsidRPr="001D6D3D">
        <w:rPr>
          <w:szCs w:val="24"/>
        </w:rPr>
        <w:t>Salisbury University is accredited by the Middle States Commission on Higher Education (</w:t>
      </w:r>
      <w:r w:rsidRPr="001D6D3D">
        <w:rPr>
          <w:b/>
          <w:szCs w:val="24"/>
        </w:rPr>
        <w:t>MSCHE</w:t>
      </w:r>
      <w:r w:rsidRPr="001D6D3D">
        <w:rPr>
          <w:szCs w:val="24"/>
        </w:rPr>
        <w:t>);</w:t>
      </w:r>
      <w:r w:rsidR="00CB4759" w:rsidRPr="001D6D3D">
        <w:rPr>
          <w:szCs w:val="24"/>
        </w:rPr>
        <w:t xml:space="preserve"> </w:t>
      </w:r>
    </w:p>
    <w:p w14:paraId="1667C7CC" w14:textId="77777777" w:rsidR="004547A7" w:rsidRPr="001D6D3D" w:rsidRDefault="00433B7B" w:rsidP="00EC11C2">
      <w:pPr>
        <w:pStyle w:val="QuickA"/>
        <w:numPr>
          <w:ilvl w:val="0"/>
          <w:numId w:val="13"/>
        </w:numPr>
        <w:tabs>
          <w:tab w:val="left" w:pos="-720"/>
          <w:tab w:val="num" w:pos="720"/>
        </w:tabs>
        <w:spacing w:after="120"/>
        <w:rPr>
          <w:szCs w:val="24"/>
        </w:rPr>
      </w:pPr>
      <w:r w:rsidRPr="001D6D3D">
        <w:rPr>
          <w:szCs w:val="24"/>
        </w:rPr>
        <w:t>Teacher Education programs</w:t>
      </w:r>
      <w:r w:rsidR="00A61844" w:rsidRPr="001D6D3D">
        <w:rPr>
          <w:szCs w:val="24"/>
        </w:rPr>
        <w:t xml:space="preserve">- </w:t>
      </w:r>
      <w:r w:rsidRPr="001D6D3D">
        <w:rPr>
          <w:szCs w:val="24"/>
        </w:rPr>
        <w:t>accredited by the National Council for Accreditation of Teacher Education (</w:t>
      </w:r>
      <w:r w:rsidRPr="001D6D3D">
        <w:rPr>
          <w:b/>
          <w:szCs w:val="24"/>
        </w:rPr>
        <w:t>NCATE</w:t>
      </w:r>
      <w:r w:rsidR="00CB4759" w:rsidRPr="001D6D3D">
        <w:rPr>
          <w:szCs w:val="24"/>
        </w:rPr>
        <w:t xml:space="preserve">) and MD Education Department; </w:t>
      </w:r>
    </w:p>
    <w:p w14:paraId="2668AAD0" w14:textId="77777777" w:rsidR="004547A7" w:rsidRPr="001D6D3D" w:rsidRDefault="00433B7B" w:rsidP="00EC11C2">
      <w:pPr>
        <w:pStyle w:val="QuickA"/>
        <w:numPr>
          <w:ilvl w:val="0"/>
          <w:numId w:val="13"/>
        </w:numPr>
        <w:tabs>
          <w:tab w:val="left" w:pos="-720"/>
          <w:tab w:val="num" w:pos="720"/>
        </w:tabs>
        <w:spacing w:after="120"/>
        <w:rPr>
          <w:szCs w:val="24"/>
        </w:rPr>
      </w:pPr>
      <w:r w:rsidRPr="001D6D3D">
        <w:rPr>
          <w:szCs w:val="24"/>
        </w:rPr>
        <w:t>Social Work</w:t>
      </w:r>
      <w:r w:rsidR="00A61844" w:rsidRPr="001D6D3D">
        <w:rPr>
          <w:szCs w:val="24"/>
        </w:rPr>
        <w:t xml:space="preserve"> program-</w:t>
      </w:r>
      <w:r w:rsidRPr="001D6D3D">
        <w:rPr>
          <w:szCs w:val="24"/>
        </w:rPr>
        <w:t>accredited by the Council on Social Work Education (</w:t>
      </w:r>
      <w:r w:rsidRPr="001D6D3D">
        <w:rPr>
          <w:b/>
          <w:szCs w:val="24"/>
        </w:rPr>
        <w:t>CSWE</w:t>
      </w:r>
      <w:r w:rsidRPr="001D6D3D">
        <w:rPr>
          <w:szCs w:val="24"/>
        </w:rPr>
        <w:t>);</w:t>
      </w:r>
      <w:r w:rsidR="00CB4759" w:rsidRPr="001D6D3D">
        <w:rPr>
          <w:szCs w:val="24"/>
        </w:rPr>
        <w:t xml:space="preserve"> </w:t>
      </w:r>
    </w:p>
    <w:p w14:paraId="186DAEE7" w14:textId="77777777" w:rsidR="004547A7" w:rsidRPr="001D6D3D" w:rsidRDefault="00433B7B" w:rsidP="00EC11C2">
      <w:pPr>
        <w:pStyle w:val="QuickA"/>
        <w:numPr>
          <w:ilvl w:val="0"/>
          <w:numId w:val="13"/>
        </w:numPr>
        <w:tabs>
          <w:tab w:val="left" w:pos="-720"/>
          <w:tab w:val="num" w:pos="720"/>
        </w:tabs>
        <w:spacing w:after="120"/>
        <w:rPr>
          <w:szCs w:val="24"/>
        </w:rPr>
      </w:pPr>
      <w:r w:rsidRPr="001D6D3D">
        <w:rPr>
          <w:szCs w:val="24"/>
        </w:rPr>
        <w:t xml:space="preserve">Music </w:t>
      </w:r>
      <w:r w:rsidR="00A61844" w:rsidRPr="001D6D3D">
        <w:rPr>
          <w:szCs w:val="24"/>
        </w:rPr>
        <w:t>program-</w:t>
      </w:r>
      <w:r w:rsidRPr="001D6D3D">
        <w:rPr>
          <w:szCs w:val="24"/>
        </w:rPr>
        <w:t>accredited by the National Association of Schools of Music (</w:t>
      </w:r>
      <w:r w:rsidRPr="001D6D3D">
        <w:rPr>
          <w:b/>
          <w:szCs w:val="24"/>
        </w:rPr>
        <w:t>NASM</w:t>
      </w:r>
      <w:r w:rsidRPr="001D6D3D">
        <w:rPr>
          <w:szCs w:val="24"/>
        </w:rPr>
        <w:t>);</w:t>
      </w:r>
    </w:p>
    <w:p w14:paraId="42DB9661" w14:textId="77777777" w:rsidR="004547A7" w:rsidRPr="001D6D3D" w:rsidRDefault="00433B7B" w:rsidP="00EC11C2">
      <w:pPr>
        <w:pStyle w:val="QuickA"/>
        <w:numPr>
          <w:ilvl w:val="0"/>
          <w:numId w:val="13"/>
        </w:numPr>
        <w:tabs>
          <w:tab w:val="left" w:pos="-720"/>
          <w:tab w:val="num" w:pos="720"/>
        </w:tabs>
        <w:spacing w:after="120"/>
        <w:rPr>
          <w:szCs w:val="24"/>
        </w:rPr>
      </w:pPr>
      <w:r w:rsidRPr="001D6D3D">
        <w:t>Franklin P. Perdue School of Business</w:t>
      </w:r>
      <w:r w:rsidR="00A61844" w:rsidRPr="001D6D3D">
        <w:t>-</w:t>
      </w:r>
      <w:r w:rsidRPr="001D6D3D">
        <w:t>is accredited by the Association to Advance Collegiate Schools of Business (</w:t>
      </w:r>
      <w:r w:rsidRPr="001D6D3D">
        <w:rPr>
          <w:b/>
        </w:rPr>
        <w:t>AACSB</w:t>
      </w:r>
      <w:r w:rsidRPr="001D6D3D">
        <w:t>)</w:t>
      </w:r>
      <w:r w:rsidRPr="001D6D3D">
        <w:rPr>
          <w:szCs w:val="24"/>
        </w:rPr>
        <w:t>;</w:t>
      </w:r>
      <w:r w:rsidR="00CB4759" w:rsidRPr="001D6D3D">
        <w:rPr>
          <w:szCs w:val="24"/>
        </w:rPr>
        <w:t xml:space="preserve"> </w:t>
      </w:r>
    </w:p>
    <w:p w14:paraId="7D24E57F" w14:textId="77777777" w:rsidR="004547A7" w:rsidRPr="001D6D3D" w:rsidRDefault="00433B7B" w:rsidP="00EC11C2">
      <w:pPr>
        <w:pStyle w:val="QuickA"/>
        <w:numPr>
          <w:ilvl w:val="0"/>
          <w:numId w:val="13"/>
        </w:numPr>
        <w:tabs>
          <w:tab w:val="left" w:pos="-720"/>
          <w:tab w:val="num" w:pos="720"/>
        </w:tabs>
        <w:spacing w:after="120"/>
        <w:rPr>
          <w:szCs w:val="24"/>
        </w:rPr>
      </w:pPr>
      <w:r w:rsidRPr="001D6D3D">
        <w:rPr>
          <w:szCs w:val="24"/>
        </w:rPr>
        <w:t>Exercise Science</w:t>
      </w:r>
      <w:r w:rsidR="00A61844" w:rsidRPr="001D6D3D">
        <w:rPr>
          <w:szCs w:val="24"/>
        </w:rPr>
        <w:t>-</w:t>
      </w:r>
      <w:r w:rsidRPr="001D6D3D">
        <w:rPr>
          <w:szCs w:val="24"/>
        </w:rPr>
        <w:t xml:space="preserve"> accredited with the Committee on Accreditation </w:t>
      </w:r>
      <w:r w:rsidR="00065B06" w:rsidRPr="001D6D3D">
        <w:rPr>
          <w:szCs w:val="24"/>
        </w:rPr>
        <w:t>of Allied Health Education Program</w:t>
      </w:r>
      <w:r w:rsidRPr="001D6D3D">
        <w:rPr>
          <w:szCs w:val="24"/>
        </w:rPr>
        <w:t>s (</w:t>
      </w:r>
      <w:r w:rsidRPr="001D6D3D">
        <w:rPr>
          <w:b/>
          <w:szCs w:val="24"/>
        </w:rPr>
        <w:t>C</w:t>
      </w:r>
      <w:r w:rsidR="00065B06" w:rsidRPr="001D6D3D">
        <w:rPr>
          <w:b/>
          <w:szCs w:val="24"/>
        </w:rPr>
        <w:t>AAHEP</w:t>
      </w:r>
      <w:r w:rsidRPr="001D6D3D">
        <w:rPr>
          <w:szCs w:val="24"/>
        </w:rPr>
        <w:t>);</w:t>
      </w:r>
      <w:r w:rsidR="00CB4759" w:rsidRPr="001D6D3D">
        <w:rPr>
          <w:szCs w:val="24"/>
        </w:rPr>
        <w:t xml:space="preserve"> </w:t>
      </w:r>
    </w:p>
    <w:p w14:paraId="0B852650" w14:textId="77777777" w:rsidR="004547A7" w:rsidRPr="001D6D3D" w:rsidRDefault="00433B7B" w:rsidP="00EC11C2">
      <w:pPr>
        <w:pStyle w:val="QuickA"/>
        <w:numPr>
          <w:ilvl w:val="0"/>
          <w:numId w:val="13"/>
        </w:numPr>
        <w:tabs>
          <w:tab w:val="left" w:pos="-720"/>
          <w:tab w:val="num" w:pos="720"/>
        </w:tabs>
        <w:spacing w:after="120"/>
        <w:rPr>
          <w:szCs w:val="24"/>
        </w:rPr>
      </w:pPr>
      <w:r w:rsidRPr="001D6D3D">
        <w:rPr>
          <w:szCs w:val="24"/>
        </w:rPr>
        <w:t>Clinical Laboratory Sciences/Medical Technology</w:t>
      </w:r>
      <w:r w:rsidR="00A61844" w:rsidRPr="001D6D3D">
        <w:rPr>
          <w:szCs w:val="24"/>
        </w:rPr>
        <w:t>-</w:t>
      </w:r>
      <w:r w:rsidRPr="001D6D3D">
        <w:rPr>
          <w:szCs w:val="24"/>
        </w:rPr>
        <w:t xml:space="preserve"> accredited with the National Accrediting Agency for Clinical Laboratory Sciences (</w:t>
      </w:r>
      <w:r w:rsidRPr="001D6D3D">
        <w:rPr>
          <w:b/>
          <w:szCs w:val="24"/>
        </w:rPr>
        <w:t>NAACLS</w:t>
      </w:r>
      <w:r w:rsidRPr="001D6D3D">
        <w:rPr>
          <w:szCs w:val="24"/>
        </w:rPr>
        <w:t>);</w:t>
      </w:r>
      <w:r w:rsidR="00CB4759" w:rsidRPr="001D6D3D">
        <w:rPr>
          <w:szCs w:val="24"/>
        </w:rPr>
        <w:t xml:space="preserve"> </w:t>
      </w:r>
    </w:p>
    <w:p w14:paraId="0E1B7134" w14:textId="77777777" w:rsidR="004547A7" w:rsidRPr="001D6D3D" w:rsidRDefault="00A61844" w:rsidP="00EC11C2">
      <w:pPr>
        <w:pStyle w:val="QuickA"/>
        <w:numPr>
          <w:ilvl w:val="0"/>
          <w:numId w:val="13"/>
        </w:numPr>
        <w:tabs>
          <w:tab w:val="left" w:pos="-720"/>
          <w:tab w:val="num" w:pos="720"/>
        </w:tabs>
        <w:spacing w:after="120"/>
        <w:rPr>
          <w:szCs w:val="24"/>
        </w:rPr>
      </w:pPr>
      <w:r w:rsidRPr="001D6D3D">
        <w:rPr>
          <w:szCs w:val="24"/>
        </w:rPr>
        <w:t>Nursing programs-</w:t>
      </w:r>
      <w:r w:rsidR="00433B7B" w:rsidRPr="001D6D3D">
        <w:rPr>
          <w:szCs w:val="24"/>
        </w:rPr>
        <w:t>accredited by the Commission on Collegiate Nursing Education (</w:t>
      </w:r>
      <w:smartTag w:uri="urn:schemas-microsoft-com:office:smarttags" w:element="stockticker">
        <w:r w:rsidR="00433B7B" w:rsidRPr="001D6D3D">
          <w:rPr>
            <w:b/>
            <w:szCs w:val="24"/>
          </w:rPr>
          <w:t>CCNE</w:t>
        </w:r>
      </w:smartTag>
      <w:r w:rsidR="00433B7B" w:rsidRPr="001D6D3D">
        <w:rPr>
          <w:szCs w:val="24"/>
        </w:rPr>
        <w:t>);</w:t>
      </w:r>
      <w:r w:rsidR="00CB4759" w:rsidRPr="001D6D3D">
        <w:rPr>
          <w:szCs w:val="24"/>
        </w:rPr>
        <w:t xml:space="preserve"> </w:t>
      </w:r>
    </w:p>
    <w:p w14:paraId="4DD29CD3" w14:textId="77777777" w:rsidR="004547A7" w:rsidRPr="001D6D3D" w:rsidRDefault="00A61844" w:rsidP="00EC11C2">
      <w:pPr>
        <w:pStyle w:val="QuickA"/>
        <w:numPr>
          <w:ilvl w:val="0"/>
          <w:numId w:val="13"/>
        </w:numPr>
        <w:tabs>
          <w:tab w:val="left" w:pos="-720"/>
          <w:tab w:val="num" w:pos="720"/>
        </w:tabs>
        <w:spacing w:after="120"/>
        <w:rPr>
          <w:szCs w:val="24"/>
        </w:rPr>
      </w:pPr>
      <w:r w:rsidRPr="001D6D3D">
        <w:rPr>
          <w:szCs w:val="24"/>
        </w:rPr>
        <w:t>P</w:t>
      </w:r>
      <w:r w:rsidR="00433B7B" w:rsidRPr="001D6D3D">
        <w:rPr>
          <w:szCs w:val="24"/>
        </w:rPr>
        <w:t>rograms in the Department of Chemistry</w:t>
      </w:r>
      <w:r w:rsidRPr="001D6D3D">
        <w:rPr>
          <w:szCs w:val="24"/>
        </w:rPr>
        <w:t>-</w:t>
      </w:r>
      <w:r w:rsidR="00433B7B" w:rsidRPr="001D6D3D">
        <w:rPr>
          <w:szCs w:val="24"/>
        </w:rPr>
        <w:t xml:space="preserve"> certified by the American Chemical Society Committee on Professional Training (</w:t>
      </w:r>
      <w:smartTag w:uri="urn:schemas-microsoft-com:office:smarttags" w:element="stockticker">
        <w:r w:rsidR="00433B7B" w:rsidRPr="001D6D3D">
          <w:rPr>
            <w:b/>
            <w:szCs w:val="24"/>
          </w:rPr>
          <w:t>ACS</w:t>
        </w:r>
      </w:smartTag>
      <w:r w:rsidR="00433B7B" w:rsidRPr="001D6D3D">
        <w:rPr>
          <w:b/>
          <w:szCs w:val="24"/>
        </w:rPr>
        <w:t>-</w:t>
      </w:r>
      <w:smartTag w:uri="urn:schemas-microsoft-com:office:smarttags" w:element="stockticker">
        <w:r w:rsidR="00433B7B" w:rsidRPr="001D6D3D">
          <w:rPr>
            <w:b/>
            <w:szCs w:val="24"/>
          </w:rPr>
          <w:t>CPT</w:t>
        </w:r>
      </w:smartTag>
      <w:r w:rsidR="00433B7B" w:rsidRPr="001D6D3D">
        <w:rPr>
          <w:szCs w:val="24"/>
        </w:rPr>
        <w:t>);</w:t>
      </w:r>
      <w:r w:rsidR="00CB4759" w:rsidRPr="001D6D3D">
        <w:rPr>
          <w:szCs w:val="24"/>
        </w:rPr>
        <w:t xml:space="preserve"> </w:t>
      </w:r>
    </w:p>
    <w:p w14:paraId="23D728B0" w14:textId="77777777" w:rsidR="004547A7" w:rsidRPr="001D6D3D" w:rsidRDefault="00433B7B" w:rsidP="00EC11C2">
      <w:pPr>
        <w:pStyle w:val="QuickA"/>
        <w:numPr>
          <w:ilvl w:val="0"/>
          <w:numId w:val="13"/>
        </w:numPr>
        <w:tabs>
          <w:tab w:val="left" w:pos="-720"/>
          <w:tab w:val="num" w:pos="720"/>
        </w:tabs>
        <w:spacing w:after="120"/>
        <w:rPr>
          <w:szCs w:val="24"/>
        </w:rPr>
      </w:pPr>
      <w:r w:rsidRPr="001D6D3D">
        <w:rPr>
          <w:szCs w:val="24"/>
        </w:rPr>
        <w:t>Athletic Training</w:t>
      </w:r>
      <w:r w:rsidR="00A61844" w:rsidRPr="001D6D3D">
        <w:rPr>
          <w:szCs w:val="24"/>
        </w:rPr>
        <w:t>-</w:t>
      </w:r>
      <w:r w:rsidRPr="001D6D3D">
        <w:rPr>
          <w:szCs w:val="24"/>
        </w:rPr>
        <w:t xml:space="preserve">accredited through the Commission on Accreditation of Athletic </w:t>
      </w:r>
      <w:r w:rsidR="00A61844" w:rsidRPr="001D6D3D">
        <w:rPr>
          <w:szCs w:val="24"/>
        </w:rPr>
        <w:t>Training Education (</w:t>
      </w:r>
      <w:r w:rsidR="00A61844" w:rsidRPr="001D6D3D">
        <w:rPr>
          <w:b/>
          <w:szCs w:val="24"/>
        </w:rPr>
        <w:t>CAATE</w:t>
      </w:r>
      <w:r w:rsidR="00A61844" w:rsidRPr="001D6D3D">
        <w:rPr>
          <w:szCs w:val="24"/>
        </w:rPr>
        <w:t>); and</w:t>
      </w:r>
      <w:r w:rsidR="00CB4759" w:rsidRPr="001D6D3D">
        <w:rPr>
          <w:szCs w:val="24"/>
        </w:rPr>
        <w:t xml:space="preserve"> </w:t>
      </w:r>
    </w:p>
    <w:p w14:paraId="1040C035" w14:textId="77777777" w:rsidR="00433B7B" w:rsidRPr="00237B4B" w:rsidRDefault="00A61844" w:rsidP="00EC11C2">
      <w:pPr>
        <w:pStyle w:val="QuickA"/>
        <w:numPr>
          <w:ilvl w:val="0"/>
          <w:numId w:val="13"/>
        </w:numPr>
        <w:tabs>
          <w:tab w:val="left" w:pos="-720"/>
          <w:tab w:val="num" w:pos="720"/>
        </w:tabs>
        <w:spacing w:after="120"/>
        <w:rPr>
          <w:szCs w:val="24"/>
        </w:rPr>
      </w:pPr>
      <w:r w:rsidRPr="001D6D3D">
        <w:t>Respiratory Therapy program-</w:t>
      </w:r>
      <w:r w:rsidR="00433B7B" w:rsidRPr="001D6D3D">
        <w:t xml:space="preserve">accredited by the Committee on Accreditation for Respiratory </w:t>
      </w:r>
      <w:r w:rsidR="00433B7B" w:rsidRPr="00237B4B">
        <w:t>Care (</w:t>
      </w:r>
      <w:proofErr w:type="spellStart"/>
      <w:r w:rsidR="00433B7B" w:rsidRPr="00237B4B">
        <w:rPr>
          <w:b/>
        </w:rPr>
        <w:t>CoARC</w:t>
      </w:r>
      <w:proofErr w:type="spellEnd"/>
      <w:r w:rsidR="00433B7B" w:rsidRPr="00237B4B">
        <w:t xml:space="preserve">) through </w:t>
      </w:r>
      <w:r w:rsidR="00065B06" w:rsidRPr="00237B4B">
        <w:rPr>
          <w:b/>
        </w:rPr>
        <w:t>CAAHEP</w:t>
      </w:r>
      <w:r w:rsidR="00433B7B" w:rsidRPr="00237B4B">
        <w:t>.</w:t>
      </w:r>
    </w:p>
    <w:p w14:paraId="1F1A63AF" w14:textId="77777777" w:rsidR="007F44FA" w:rsidRDefault="007F44FA" w:rsidP="00640003">
      <w:pPr>
        <w:autoSpaceDE w:val="0"/>
        <w:autoSpaceDN w:val="0"/>
        <w:adjustRightInd w:val="0"/>
        <w:spacing w:after="120"/>
        <w:rPr>
          <w:szCs w:val="24"/>
        </w:rPr>
      </w:pPr>
      <w:r w:rsidRPr="00237B4B">
        <w:rPr>
          <w:szCs w:val="24"/>
          <w:u w:val="single"/>
        </w:rPr>
        <w:t>Licensure</w:t>
      </w:r>
    </w:p>
    <w:p w14:paraId="526EED6A" w14:textId="77777777" w:rsidR="00162E17" w:rsidRPr="00845E71" w:rsidRDefault="00162E17" w:rsidP="00640003">
      <w:pPr>
        <w:autoSpaceDE w:val="0"/>
        <w:autoSpaceDN w:val="0"/>
        <w:adjustRightInd w:val="0"/>
        <w:spacing w:after="120"/>
        <w:rPr>
          <w:szCs w:val="24"/>
        </w:rPr>
      </w:pPr>
      <w:r>
        <w:rPr>
          <w:szCs w:val="24"/>
        </w:rPr>
        <w:lastRenderedPageBreak/>
        <w:t xml:space="preserve">Additionally, </w:t>
      </w:r>
      <w:r w:rsidRPr="00F155A8">
        <w:rPr>
          <w:szCs w:val="24"/>
        </w:rPr>
        <w:t xml:space="preserve">Objectives 1.1 and 1.2 </w:t>
      </w:r>
      <w:r>
        <w:rPr>
          <w:szCs w:val="24"/>
        </w:rPr>
        <w:t xml:space="preserve">were </w:t>
      </w:r>
      <w:r w:rsidRPr="00F155A8">
        <w:rPr>
          <w:szCs w:val="24"/>
        </w:rPr>
        <w:t xml:space="preserve">established </w:t>
      </w:r>
      <w:r>
        <w:rPr>
          <w:szCs w:val="24"/>
        </w:rPr>
        <w:t xml:space="preserve">as </w:t>
      </w:r>
      <w:r w:rsidRPr="00F155A8">
        <w:rPr>
          <w:szCs w:val="24"/>
        </w:rPr>
        <w:t xml:space="preserve">performance goals </w:t>
      </w:r>
      <w:r>
        <w:rPr>
          <w:szCs w:val="24"/>
        </w:rPr>
        <w:t xml:space="preserve">to help determine the effectiveness of the nursing and teacher education programs at SU. Effectiveness for these goals is measured </w:t>
      </w:r>
      <w:r w:rsidR="007F44FA">
        <w:rPr>
          <w:szCs w:val="24"/>
        </w:rPr>
        <w:t>by examining the</w:t>
      </w:r>
      <w:r w:rsidRPr="00F155A8">
        <w:rPr>
          <w:szCs w:val="24"/>
        </w:rPr>
        <w:t xml:space="preserve"> pass rates </w:t>
      </w:r>
      <w:r w:rsidR="007F44FA">
        <w:rPr>
          <w:szCs w:val="24"/>
        </w:rPr>
        <w:t>for</w:t>
      </w:r>
      <w:r w:rsidRPr="00F155A8">
        <w:rPr>
          <w:szCs w:val="24"/>
        </w:rPr>
        <w:t xml:space="preserve"> the nursing licensure exam</w:t>
      </w:r>
      <w:r w:rsidR="00E51687">
        <w:rPr>
          <w:szCs w:val="24"/>
        </w:rPr>
        <w:t xml:space="preserve"> (NCLEX</w:t>
      </w:r>
      <w:r w:rsidRPr="00F155A8">
        <w:rPr>
          <w:szCs w:val="24"/>
        </w:rPr>
        <w:t xml:space="preserve">) and the </w:t>
      </w:r>
      <w:r w:rsidR="00E51687">
        <w:rPr>
          <w:szCs w:val="24"/>
        </w:rPr>
        <w:t>teacher licensure exam (PRAXIS</w:t>
      </w:r>
      <w:r w:rsidRPr="00EE56A7">
        <w:rPr>
          <w:szCs w:val="24"/>
        </w:rPr>
        <w:t xml:space="preserve">). </w:t>
      </w:r>
      <w:r w:rsidR="007F44FA">
        <w:rPr>
          <w:szCs w:val="24"/>
        </w:rPr>
        <w:t>At</w:t>
      </w:r>
      <w:r w:rsidR="00237B4B">
        <w:rPr>
          <w:szCs w:val="24"/>
        </w:rPr>
        <w:t xml:space="preserve"> 96</w:t>
      </w:r>
      <w:r w:rsidR="00EE56A7" w:rsidRPr="00EE56A7">
        <w:rPr>
          <w:szCs w:val="24"/>
        </w:rPr>
        <w:t xml:space="preserve">%, SU remains above the average Maryland NCLEX pass rate </w:t>
      </w:r>
      <w:r w:rsidR="00237B4B">
        <w:rPr>
          <w:szCs w:val="24"/>
        </w:rPr>
        <w:t>(81</w:t>
      </w:r>
      <w:r w:rsidR="007F44FA">
        <w:rPr>
          <w:szCs w:val="24"/>
        </w:rPr>
        <w:t xml:space="preserve">%) </w:t>
      </w:r>
      <w:r w:rsidR="00EE56A7" w:rsidRPr="00EE56A7">
        <w:rPr>
          <w:szCs w:val="24"/>
        </w:rPr>
        <w:t xml:space="preserve">for BSN programs (Objective 1.1). </w:t>
      </w:r>
      <w:r w:rsidR="00237B4B">
        <w:rPr>
          <w:szCs w:val="24"/>
        </w:rPr>
        <w:t>Despite a four percentage point increase this year, t</w:t>
      </w:r>
      <w:r w:rsidR="00EE56A7" w:rsidRPr="00845E71">
        <w:rPr>
          <w:szCs w:val="24"/>
        </w:rPr>
        <w:t xml:space="preserve">he Nursing department continues its </w:t>
      </w:r>
      <w:r w:rsidRPr="00845E71">
        <w:rPr>
          <w:szCs w:val="24"/>
        </w:rPr>
        <w:t>concentrated efforts (e.g., reform</w:t>
      </w:r>
      <w:r w:rsidR="00A44F76" w:rsidRPr="00845E71">
        <w:rPr>
          <w:szCs w:val="24"/>
        </w:rPr>
        <w:t xml:space="preserve"> of the Nursing curriculum</w:t>
      </w:r>
      <w:r w:rsidRPr="00845E71">
        <w:rPr>
          <w:szCs w:val="24"/>
        </w:rPr>
        <w:t xml:space="preserve">, tutoring, NCLEX review course, etc.) initiated to increase its pass rates. </w:t>
      </w:r>
    </w:p>
    <w:p w14:paraId="0496E83C" w14:textId="77777777" w:rsidR="00162E17" w:rsidRPr="005F3AD1" w:rsidRDefault="006D0A08" w:rsidP="00640003">
      <w:pPr>
        <w:autoSpaceDE w:val="0"/>
        <w:autoSpaceDN w:val="0"/>
        <w:adjustRightInd w:val="0"/>
        <w:spacing w:after="120"/>
        <w:rPr>
          <w:szCs w:val="24"/>
        </w:rPr>
      </w:pPr>
      <w:r w:rsidRPr="006D0A08">
        <w:rPr>
          <w:szCs w:val="24"/>
        </w:rPr>
        <w:t>At 98</w:t>
      </w:r>
      <w:r w:rsidR="00162E17" w:rsidRPr="006D0A08">
        <w:rPr>
          <w:szCs w:val="24"/>
        </w:rPr>
        <w:t xml:space="preserve">%, the pass rate for the </w:t>
      </w:r>
      <w:r w:rsidR="005F3AD1" w:rsidRPr="006D0A08">
        <w:rPr>
          <w:szCs w:val="24"/>
        </w:rPr>
        <w:t xml:space="preserve">PRAXIS </w:t>
      </w:r>
      <w:r w:rsidRPr="006D0A08">
        <w:rPr>
          <w:szCs w:val="24"/>
        </w:rPr>
        <w:t xml:space="preserve">improved </w:t>
      </w:r>
      <w:r w:rsidR="00237B4B">
        <w:rPr>
          <w:szCs w:val="24"/>
        </w:rPr>
        <w:t>one</w:t>
      </w:r>
      <w:r w:rsidRPr="006D0A08">
        <w:rPr>
          <w:szCs w:val="24"/>
        </w:rPr>
        <w:t xml:space="preserve"> percentage point </w:t>
      </w:r>
      <w:r w:rsidR="00162E17" w:rsidRPr="006D0A08">
        <w:rPr>
          <w:szCs w:val="24"/>
        </w:rPr>
        <w:t>from the</w:t>
      </w:r>
      <w:r w:rsidR="00027957" w:rsidRPr="006D0A08">
        <w:rPr>
          <w:szCs w:val="24"/>
        </w:rPr>
        <w:t xml:space="preserve"> rate attained during the</w:t>
      </w:r>
      <w:r w:rsidR="00162E17" w:rsidRPr="006D0A08">
        <w:rPr>
          <w:szCs w:val="24"/>
        </w:rPr>
        <w:t xml:space="preserve"> previous year</w:t>
      </w:r>
      <w:r w:rsidR="00EC27BE" w:rsidRPr="006D0A08">
        <w:rPr>
          <w:szCs w:val="24"/>
        </w:rPr>
        <w:t xml:space="preserve"> (Objective 1.2)</w:t>
      </w:r>
      <w:r w:rsidR="00162E17" w:rsidRPr="006D0A08">
        <w:rPr>
          <w:szCs w:val="24"/>
        </w:rPr>
        <w:t xml:space="preserve">. </w:t>
      </w:r>
      <w:r w:rsidR="00027957" w:rsidRPr="006D0A08">
        <w:rPr>
          <w:szCs w:val="24"/>
        </w:rPr>
        <w:t>D</w:t>
      </w:r>
      <w:r w:rsidR="005F3AD1" w:rsidRPr="006D0A08">
        <w:rPr>
          <w:snapToGrid/>
          <w:szCs w:val="24"/>
        </w:rPr>
        <w:t xml:space="preserve">uring the 2008-09 academic year, the Professional Education unit implemented a new graduation requirement for students seeking their degree in a Professional Education area. Beginning with students graduating from the Professional Education program in spring 2010 and after, students must pass the PRAXIS II in order to graduate with recommendation for certification. </w:t>
      </w:r>
    </w:p>
    <w:p w14:paraId="2C57E86A" w14:textId="77777777" w:rsidR="00162E17" w:rsidRDefault="00DC0E02" w:rsidP="00BA5216">
      <w:pPr>
        <w:pStyle w:val="Heading5"/>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suppressAutoHyphens w:val="0"/>
        <w:spacing w:after="120"/>
        <w:rPr>
          <w:sz w:val="24"/>
          <w:szCs w:val="24"/>
        </w:rPr>
      </w:pPr>
      <w:r w:rsidRPr="00F155A8">
        <w:rPr>
          <w:sz w:val="24"/>
          <w:szCs w:val="24"/>
        </w:rPr>
        <w:t>Access</w:t>
      </w:r>
      <w:r>
        <w:rPr>
          <w:sz w:val="24"/>
          <w:szCs w:val="24"/>
        </w:rPr>
        <w:t>ibility and</w:t>
      </w:r>
      <w:r w:rsidR="00162E17" w:rsidRPr="00F155A8">
        <w:rPr>
          <w:sz w:val="24"/>
          <w:szCs w:val="24"/>
        </w:rPr>
        <w:t xml:space="preserve"> Affordability</w:t>
      </w:r>
    </w:p>
    <w:p w14:paraId="437C0133" w14:textId="77777777" w:rsidR="001F29BB" w:rsidRPr="001F29BB" w:rsidRDefault="00DC0E02" w:rsidP="00BA5216">
      <w:pPr>
        <w:spacing w:after="120"/>
        <w:rPr>
          <w:i/>
        </w:rPr>
      </w:pPr>
      <w:r>
        <w:rPr>
          <w:i/>
        </w:rPr>
        <w:t>MSP Goal</w:t>
      </w:r>
      <w:r w:rsidR="008645EF">
        <w:rPr>
          <w:i/>
        </w:rPr>
        <w:t xml:space="preserve">: </w:t>
      </w:r>
      <w:r w:rsidR="001F29BB">
        <w:rPr>
          <w:i/>
        </w:rPr>
        <w:t>Achieve a system of postsecondary education that promotes accessibility and af</w:t>
      </w:r>
      <w:r>
        <w:rPr>
          <w:i/>
        </w:rPr>
        <w:t>fordability for all Marylanders</w:t>
      </w:r>
      <w:r w:rsidR="00E51687">
        <w:rPr>
          <w:i/>
        </w:rPr>
        <w:t>.</w:t>
      </w:r>
    </w:p>
    <w:p w14:paraId="0746E170" w14:textId="77777777" w:rsidR="005A6EA4" w:rsidRPr="005A6EA4" w:rsidRDefault="005A6EA4" w:rsidP="00BA5216">
      <w:pPr>
        <w:pStyle w:val="QuickA"/>
        <w:numPr>
          <w:ilvl w:val="0"/>
          <w:numId w:val="0"/>
        </w:numPr>
        <w:tabs>
          <w:tab w:val="left" w:pos="-720"/>
        </w:tabs>
        <w:spacing w:after="120"/>
        <w:rPr>
          <w:i/>
          <w:szCs w:val="24"/>
        </w:rPr>
      </w:pPr>
      <w:r w:rsidRPr="005A6EA4">
        <w:rPr>
          <w:i/>
          <w:szCs w:val="24"/>
        </w:rPr>
        <w:t>MFR Objectives</w:t>
      </w:r>
      <w:r w:rsidR="008645EF">
        <w:rPr>
          <w:i/>
          <w:szCs w:val="24"/>
        </w:rPr>
        <w:t>:</w:t>
      </w:r>
      <w:r w:rsidRPr="005A6EA4">
        <w:rPr>
          <w:i/>
          <w:szCs w:val="24"/>
        </w:rPr>
        <w:t xml:space="preserve"> </w:t>
      </w:r>
      <w:r>
        <w:rPr>
          <w:i/>
          <w:szCs w:val="24"/>
        </w:rPr>
        <w:t>3.3</w:t>
      </w:r>
    </w:p>
    <w:p w14:paraId="45434C58" w14:textId="77777777" w:rsidR="00162E17" w:rsidRPr="00494E6A" w:rsidRDefault="00162E17" w:rsidP="00DF288A">
      <w:pPr>
        <w:spacing w:after="120"/>
        <w:rPr>
          <w:szCs w:val="24"/>
        </w:rPr>
      </w:pPr>
      <w:r>
        <w:rPr>
          <w:szCs w:val="24"/>
        </w:rPr>
        <w:t>SU</w:t>
      </w:r>
      <w:r w:rsidRPr="00F155A8">
        <w:rPr>
          <w:szCs w:val="24"/>
        </w:rPr>
        <w:t xml:space="preserve"> continues to focus its enrollment </w:t>
      </w:r>
      <w:r>
        <w:rPr>
          <w:szCs w:val="24"/>
        </w:rPr>
        <w:t xml:space="preserve">growth </w:t>
      </w:r>
      <w:r w:rsidRPr="00F155A8">
        <w:rPr>
          <w:szCs w:val="24"/>
        </w:rPr>
        <w:t xml:space="preserve">on </w:t>
      </w:r>
      <w:r>
        <w:rPr>
          <w:szCs w:val="24"/>
        </w:rPr>
        <w:t xml:space="preserve">both </w:t>
      </w:r>
      <w:r w:rsidRPr="00F155A8">
        <w:rPr>
          <w:szCs w:val="24"/>
        </w:rPr>
        <w:t>highly qualifi</w:t>
      </w:r>
      <w:r>
        <w:rPr>
          <w:szCs w:val="24"/>
        </w:rPr>
        <w:t>ed, motivated first-time freshmen</w:t>
      </w:r>
      <w:r w:rsidRPr="00F155A8">
        <w:rPr>
          <w:szCs w:val="24"/>
        </w:rPr>
        <w:t xml:space="preserve"> and transfer students.</w:t>
      </w:r>
      <w:r w:rsidR="00E33E4E">
        <w:rPr>
          <w:szCs w:val="24"/>
        </w:rPr>
        <w:t xml:space="preserve"> </w:t>
      </w:r>
      <w:r w:rsidR="006D0A08">
        <w:rPr>
          <w:szCs w:val="24"/>
        </w:rPr>
        <w:t>For fall 201</w:t>
      </w:r>
      <w:r w:rsidR="00237B4B">
        <w:rPr>
          <w:szCs w:val="24"/>
        </w:rPr>
        <w:t>1</w:t>
      </w:r>
      <w:r>
        <w:rPr>
          <w:szCs w:val="24"/>
        </w:rPr>
        <w:t>, a</w:t>
      </w:r>
      <w:r w:rsidRPr="00F155A8">
        <w:rPr>
          <w:szCs w:val="24"/>
        </w:rPr>
        <w:t xml:space="preserve">pplications to </w:t>
      </w:r>
      <w:r>
        <w:rPr>
          <w:szCs w:val="24"/>
        </w:rPr>
        <w:t>SU were</w:t>
      </w:r>
      <w:r w:rsidRPr="00F155A8">
        <w:rPr>
          <w:szCs w:val="24"/>
        </w:rPr>
        <w:t xml:space="preserve"> </w:t>
      </w:r>
      <w:r w:rsidR="00237B4B">
        <w:rPr>
          <w:szCs w:val="24"/>
        </w:rPr>
        <w:t>up 4</w:t>
      </w:r>
      <w:r>
        <w:rPr>
          <w:szCs w:val="24"/>
        </w:rPr>
        <w:t xml:space="preserve">% from </w:t>
      </w:r>
      <w:r w:rsidR="00237B4B">
        <w:rPr>
          <w:szCs w:val="24"/>
        </w:rPr>
        <w:t>2010</w:t>
      </w:r>
      <w:r>
        <w:rPr>
          <w:szCs w:val="24"/>
        </w:rPr>
        <w:t xml:space="preserve">; approximately </w:t>
      </w:r>
      <w:r w:rsidR="00237B4B">
        <w:rPr>
          <w:szCs w:val="24"/>
        </w:rPr>
        <w:t>8,021</w:t>
      </w:r>
      <w:r>
        <w:rPr>
          <w:szCs w:val="24"/>
        </w:rPr>
        <w:t xml:space="preserve"> appl</w:t>
      </w:r>
      <w:r w:rsidR="008504F2">
        <w:rPr>
          <w:szCs w:val="24"/>
        </w:rPr>
        <w:t xml:space="preserve">ications were received for </w:t>
      </w:r>
      <w:r w:rsidR="00237B4B">
        <w:rPr>
          <w:szCs w:val="24"/>
        </w:rPr>
        <w:t>1,248</w:t>
      </w:r>
      <w:r>
        <w:rPr>
          <w:szCs w:val="24"/>
        </w:rPr>
        <w:t xml:space="preserve"> freshme</w:t>
      </w:r>
      <w:r w:rsidRPr="00F155A8">
        <w:rPr>
          <w:szCs w:val="24"/>
        </w:rPr>
        <w:t>n seats</w:t>
      </w:r>
      <w:r>
        <w:rPr>
          <w:szCs w:val="24"/>
        </w:rPr>
        <w:t>.</w:t>
      </w:r>
      <w:r w:rsidRPr="00F155A8">
        <w:rPr>
          <w:szCs w:val="24"/>
        </w:rPr>
        <w:t xml:space="preserve"> </w:t>
      </w:r>
      <w:r>
        <w:rPr>
          <w:szCs w:val="24"/>
        </w:rPr>
        <w:t xml:space="preserve">With an average </w:t>
      </w:r>
      <w:r w:rsidR="00C95FF0">
        <w:rPr>
          <w:szCs w:val="24"/>
        </w:rPr>
        <w:t xml:space="preserve">3-part </w:t>
      </w:r>
      <w:r w:rsidRPr="001D2DAC">
        <w:rPr>
          <w:szCs w:val="24"/>
        </w:rPr>
        <w:t xml:space="preserve">composite </w:t>
      </w:r>
      <w:smartTag w:uri="urn:schemas-microsoft-com:office:smarttags" w:element="stockticker">
        <w:r w:rsidRPr="001D2DAC">
          <w:rPr>
            <w:szCs w:val="24"/>
          </w:rPr>
          <w:t>SAT</w:t>
        </w:r>
      </w:smartTag>
      <w:r w:rsidR="00990B60">
        <w:rPr>
          <w:szCs w:val="24"/>
        </w:rPr>
        <w:t xml:space="preserve"> score of</w:t>
      </w:r>
      <w:r w:rsidR="008504F2">
        <w:rPr>
          <w:szCs w:val="24"/>
        </w:rPr>
        <w:t xml:space="preserve"> </w:t>
      </w:r>
      <w:r w:rsidR="00E81CCD">
        <w:rPr>
          <w:szCs w:val="24"/>
        </w:rPr>
        <w:t>1,7</w:t>
      </w:r>
      <w:r w:rsidR="00237B4B">
        <w:rPr>
          <w:szCs w:val="24"/>
        </w:rPr>
        <w:t>11</w:t>
      </w:r>
      <w:r w:rsidR="00811B8F">
        <w:rPr>
          <w:szCs w:val="24"/>
        </w:rPr>
        <w:t xml:space="preserve">, </w:t>
      </w:r>
      <w:r w:rsidRPr="001D2DAC">
        <w:rPr>
          <w:szCs w:val="24"/>
        </w:rPr>
        <w:t>and an</w:t>
      </w:r>
      <w:r w:rsidR="00E81CCD">
        <w:rPr>
          <w:szCs w:val="24"/>
        </w:rPr>
        <w:t xml:space="preserve"> average high school GPA of 3.6</w:t>
      </w:r>
      <w:r w:rsidR="00237B4B">
        <w:rPr>
          <w:szCs w:val="24"/>
        </w:rPr>
        <w:t>6</w:t>
      </w:r>
      <w:r w:rsidR="00990B60">
        <w:rPr>
          <w:szCs w:val="24"/>
        </w:rPr>
        <w:t xml:space="preserve">, </w:t>
      </w:r>
      <w:r w:rsidRPr="001D2DAC">
        <w:rPr>
          <w:szCs w:val="24"/>
        </w:rPr>
        <w:t>the academic background of</w:t>
      </w:r>
      <w:r w:rsidR="008504F2">
        <w:rPr>
          <w:szCs w:val="24"/>
        </w:rPr>
        <w:t xml:space="preserve"> new freshmen admitted </w:t>
      </w:r>
      <w:r w:rsidR="00990B60">
        <w:rPr>
          <w:szCs w:val="24"/>
        </w:rPr>
        <w:t xml:space="preserve">in </w:t>
      </w:r>
      <w:r w:rsidR="00C95FF0">
        <w:rPr>
          <w:szCs w:val="24"/>
        </w:rPr>
        <w:t>fall 20</w:t>
      </w:r>
      <w:r w:rsidR="00E81CCD">
        <w:rPr>
          <w:szCs w:val="24"/>
        </w:rPr>
        <w:t>1</w:t>
      </w:r>
      <w:r w:rsidR="00237B4B">
        <w:rPr>
          <w:szCs w:val="24"/>
        </w:rPr>
        <w:t>1</w:t>
      </w:r>
      <w:r w:rsidR="00C95FF0">
        <w:rPr>
          <w:szCs w:val="24"/>
        </w:rPr>
        <w:t xml:space="preserve"> surpassed that of the 20</w:t>
      </w:r>
      <w:r w:rsidR="00237B4B">
        <w:rPr>
          <w:szCs w:val="24"/>
        </w:rPr>
        <w:t>10</w:t>
      </w:r>
      <w:r w:rsidRPr="001D2DAC">
        <w:rPr>
          <w:szCs w:val="24"/>
        </w:rPr>
        <w:t xml:space="preserve"> cohort of first-time freshmen. </w:t>
      </w:r>
      <w:r w:rsidRPr="00B0405C">
        <w:rPr>
          <w:szCs w:val="24"/>
        </w:rPr>
        <w:t>SU was able to respond to MHEC’s access goals by increasing undergraduate enro</w:t>
      </w:r>
      <w:r w:rsidR="00C95FF0" w:rsidRPr="00B0405C">
        <w:rPr>
          <w:szCs w:val="24"/>
        </w:rPr>
        <w:t xml:space="preserve">llment by </w:t>
      </w:r>
      <w:r w:rsidR="00B0405C" w:rsidRPr="00B0405C">
        <w:rPr>
          <w:szCs w:val="24"/>
        </w:rPr>
        <w:t>1</w:t>
      </w:r>
      <w:r w:rsidR="00237B4B">
        <w:rPr>
          <w:szCs w:val="24"/>
        </w:rPr>
        <w:t>86</w:t>
      </w:r>
      <w:r w:rsidRPr="00B0405C">
        <w:rPr>
          <w:szCs w:val="24"/>
        </w:rPr>
        <w:t xml:space="preserve"> students while </w:t>
      </w:r>
      <w:r w:rsidR="00B0405C" w:rsidRPr="00B0405C">
        <w:rPr>
          <w:szCs w:val="24"/>
        </w:rPr>
        <w:t>improving</w:t>
      </w:r>
      <w:r w:rsidRPr="00B0405C">
        <w:rPr>
          <w:szCs w:val="24"/>
        </w:rPr>
        <w:t xml:space="preserve"> the academic rigor of it first-time freshmen class</w:t>
      </w:r>
      <w:r w:rsidR="008504F2" w:rsidRPr="00B0405C">
        <w:rPr>
          <w:szCs w:val="24"/>
        </w:rPr>
        <w:t xml:space="preserve">. </w:t>
      </w:r>
      <w:r w:rsidR="008504F2" w:rsidRPr="00494E6A">
        <w:rPr>
          <w:szCs w:val="24"/>
        </w:rPr>
        <w:t xml:space="preserve">Overall, </w:t>
      </w:r>
      <w:r w:rsidR="008C6E6F" w:rsidRPr="00494E6A">
        <w:rPr>
          <w:szCs w:val="24"/>
        </w:rPr>
        <w:t>SU had</w:t>
      </w:r>
      <w:r w:rsidR="008504F2" w:rsidRPr="00494E6A">
        <w:rPr>
          <w:szCs w:val="24"/>
        </w:rPr>
        <w:t xml:space="preserve"> </w:t>
      </w:r>
      <w:r w:rsidR="00B0405C" w:rsidRPr="00494E6A">
        <w:rPr>
          <w:szCs w:val="24"/>
        </w:rPr>
        <w:t>1,8</w:t>
      </w:r>
      <w:r w:rsidR="00DB2AB2">
        <w:rPr>
          <w:szCs w:val="24"/>
        </w:rPr>
        <w:t>32</w:t>
      </w:r>
      <w:r w:rsidRPr="00494E6A">
        <w:rPr>
          <w:szCs w:val="24"/>
        </w:rPr>
        <w:t xml:space="preserve"> more undergraduates</w:t>
      </w:r>
      <w:r w:rsidR="00DB2AB2">
        <w:rPr>
          <w:szCs w:val="24"/>
        </w:rPr>
        <w:t>, a 30</w:t>
      </w:r>
      <w:r w:rsidRPr="00494E6A">
        <w:rPr>
          <w:szCs w:val="24"/>
        </w:rPr>
        <w:t xml:space="preserve">% increase </w:t>
      </w:r>
      <w:r w:rsidR="00433B7B" w:rsidRPr="00494E6A">
        <w:rPr>
          <w:szCs w:val="24"/>
        </w:rPr>
        <w:t>over</w:t>
      </w:r>
      <w:r w:rsidRPr="00494E6A">
        <w:rPr>
          <w:szCs w:val="24"/>
        </w:rPr>
        <w:t xml:space="preserve"> 10 years ago</w:t>
      </w:r>
      <w:r w:rsidR="00811B8F" w:rsidRPr="00494E6A">
        <w:rPr>
          <w:szCs w:val="24"/>
        </w:rPr>
        <w:t>.</w:t>
      </w:r>
    </w:p>
    <w:p w14:paraId="41D4B0D3" w14:textId="77777777" w:rsidR="00DC0E02" w:rsidRDefault="00DC0E02" w:rsidP="00DC0E02">
      <w:pPr>
        <w:widowControl/>
        <w:autoSpaceDE w:val="0"/>
        <w:autoSpaceDN w:val="0"/>
        <w:adjustRightInd w:val="0"/>
        <w:spacing w:after="120"/>
        <w:rPr>
          <w:szCs w:val="24"/>
        </w:rPr>
      </w:pPr>
      <w:r w:rsidRPr="00E40006">
        <w:rPr>
          <w:szCs w:val="24"/>
        </w:rPr>
        <w:t>In addition to increasing undergraduate enrollment, SU has focused on expanding accessibility by offering several of its renowned programs at other Maryland higher education campus</w:t>
      </w:r>
      <w:r>
        <w:rPr>
          <w:szCs w:val="24"/>
        </w:rPr>
        <w:t>es</w:t>
      </w:r>
      <w:r w:rsidRPr="00E40006">
        <w:rPr>
          <w:szCs w:val="24"/>
        </w:rPr>
        <w:t xml:space="preserve">. By </w:t>
      </w:r>
      <w:r>
        <w:rPr>
          <w:szCs w:val="24"/>
        </w:rPr>
        <w:t xml:space="preserve">having </w:t>
      </w:r>
      <w:r w:rsidR="00CC6A78">
        <w:rPr>
          <w:szCs w:val="24"/>
        </w:rPr>
        <w:t xml:space="preserve">remote </w:t>
      </w:r>
      <w:r>
        <w:rPr>
          <w:szCs w:val="24"/>
        </w:rPr>
        <w:t>locations at</w:t>
      </w:r>
      <w:r w:rsidRPr="00E40006">
        <w:rPr>
          <w:szCs w:val="24"/>
        </w:rPr>
        <w:t xml:space="preserve"> </w:t>
      </w:r>
      <w:smartTag w:uri="urn:schemas-microsoft-com:office:smarttags" w:element="stockticker">
        <w:r w:rsidRPr="00E40006">
          <w:rPr>
            <w:szCs w:val="24"/>
          </w:rPr>
          <w:t>USG</w:t>
        </w:r>
      </w:smartTag>
      <w:r>
        <w:rPr>
          <w:szCs w:val="24"/>
        </w:rPr>
        <w:t>, USMH, Cecil College,</w:t>
      </w:r>
      <w:r w:rsidRPr="00E40006">
        <w:rPr>
          <w:szCs w:val="24"/>
        </w:rPr>
        <w:t xml:space="preserve"> and ESHEC, the University provide</w:t>
      </w:r>
      <w:r>
        <w:rPr>
          <w:szCs w:val="24"/>
        </w:rPr>
        <w:t>s</w:t>
      </w:r>
      <w:r w:rsidRPr="00E40006">
        <w:rPr>
          <w:szCs w:val="24"/>
        </w:rPr>
        <w:t xml:space="preserve"> </w:t>
      </w:r>
      <w:r>
        <w:rPr>
          <w:szCs w:val="24"/>
        </w:rPr>
        <w:t>programs</w:t>
      </w:r>
      <w:r w:rsidRPr="00E40006">
        <w:rPr>
          <w:szCs w:val="24"/>
        </w:rPr>
        <w:t xml:space="preserve"> to students </w:t>
      </w:r>
      <w:r w:rsidR="00CC6A78">
        <w:rPr>
          <w:szCs w:val="24"/>
        </w:rPr>
        <w:t>who</w:t>
      </w:r>
      <w:r w:rsidRPr="00E40006">
        <w:rPr>
          <w:szCs w:val="24"/>
        </w:rPr>
        <w:t xml:space="preserve"> might not otherwise be able to atte</w:t>
      </w:r>
      <w:r>
        <w:rPr>
          <w:szCs w:val="24"/>
        </w:rPr>
        <w:t xml:space="preserve">nd classes on SU’s main campus. </w:t>
      </w:r>
      <w:r w:rsidRPr="00E40006">
        <w:rPr>
          <w:szCs w:val="24"/>
        </w:rPr>
        <w:t>These successful partnerships will assist the state in meeting its demand to train highly qualified teachers</w:t>
      </w:r>
      <w:r>
        <w:rPr>
          <w:szCs w:val="24"/>
        </w:rPr>
        <w:t>, social workers, business professionals,</w:t>
      </w:r>
      <w:r w:rsidRPr="00E40006">
        <w:rPr>
          <w:szCs w:val="24"/>
        </w:rPr>
        <w:t xml:space="preserve"> and healthcare professionals and grant students access to programs that may previously</w:t>
      </w:r>
      <w:r w:rsidR="00CC6A78" w:rsidRPr="00CC6A78">
        <w:rPr>
          <w:szCs w:val="24"/>
        </w:rPr>
        <w:t xml:space="preserve"> </w:t>
      </w:r>
      <w:r w:rsidR="00CC6A78" w:rsidRPr="00E40006">
        <w:rPr>
          <w:szCs w:val="24"/>
        </w:rPr>
        <w:t>have</w:t>
      </w:r>
      <w:r>
        <w:rPr>
          <w:szCs w:val="24"/>
        </w:rPr>
        <w:t xml:space="preserve"> </w:t>
      </w:r>
      <w:r w:rsidRPr="00E40006">
        <w:rPr>
          <w:szCs w:val="24"/>
        </w:rPr>
        <w:t>been unavailable</w:t>
      </w:r>
      <w:r>
        <w:rPr>
          <w:szCs w:val="24"/>
        </w:rPr>
        <w:t xml:space="preserve"> in those regions</w:t>
      </w:r>
      <w:r w:rsidRPr="00E40006">
        <w:rPr>
          <w:szCs w:val="24"/>
        </w:rPr>
        <w:t xml:space="preserve">. </w:t>
      </w:r>
    </w:p>
    <w:p w14:paraId="179054DD" w14:textId="77777777" w:rsidR="00DC0E02" w:rsidRPr="003139B4" w:rsidRDefault="00DC0E02" w:rsidP="00DC0E02">
      <w:pPr>
        <w:pStyle w:val="QuickA"/>
        <w:numPr>
          <w:ilvl w:val="0"/>
          <w:numId w:val="0"/>
        </w:numPr>
        <w:tabs>
          <w:tab w:val="left" w:pos="-720"/>
        </w:tabs>
        <w:spacing w:after="120"/>
        <w:rPr>
          <w:szCs w:val="24"/>
        </w:rPr>
      </w:pPr>
      <w:r w:rsidRPr="003139B4">
        <w:rPr>
          <w:szCs w:val="24"/>
        </w:rPr>
        <w:t xml:space="preserve">While continuing to increase accessibility, SU has managed to retain its ranking as one of the Top “100 Best Values in Public Colleges” by </w:t>
      </w:r>
      <w:r w:rsidRPr="003139B4">
        <w:rPr>
          <w:i/>
          <w:szCs w:val="24"/>
        </w:rPr>
        <w:t>Kiplinger’s Personal Finance</w:t>
      </w:r>
      <w:r w:rsidRPr="003139B4">
        <w:rPr>
          <w:szCs w:val="24"/>
        </w:rPr>
        <w:t xml:space="preserve"> magazine in </w:t>
      </w:r>
      <w:r w:rsidR="00CC6A78">
        <w:rPr>
          <w:szCs w:val="24"/>
        </w:rPr>
        <w:t xml:space="preserve">its </w:t>
      </w:r>
      <w:r w:rsidRPr="003139B4">
        <w:rPr>
          <w:szCs w:val="24"/>
        </w:rPr>
        <w:t>201</w:t>
      </w:r>
      <w:r w:rsidR="00DB2AB2">
        <w:rPr>
          <w:szCs w:val="24"/>
        </w:rPr>
        <w:t>2</w:t>
      </w:r>
      <w:r w:rsidR="00CC6A78">
        <w:rPr>
          <w:szCs w:val="24"/>
        </w:rPr>
        <w:t xml:space="preserve"> edition</w:t>
      </w:r>
      <w:r w:rsidRPr="003139B4">
        <w:rPr>
          <w:szCs w:val="24"/>
        </w:rPr>
        <w:t>. SU had affordability ra</w:t>
      </w:r>
      <w:r w:rsidR="00DB2AB2">
        <w:rPr>
          <w:szCs w:val="24"/>
        </w:rPr>
        <w:t>nkings of 71</w:t>
      </w:r>
      <w:r w:rsidR="00DB2AB2" w:rsidRPr="00DB2AB2">
        <w:rPr>
          <w:szCs w:val="24"/>
          <w:vertAlign w:val="superscript"/>
        </w:rPr>
        <w:t>st</w:t>
      </w:r>
      <w:r w:rsidR="00DB2AB2">
        <w:rPr>
          <w:szCs w:val="24"/>
        </w:rPr>
        <w:t xml:space="preserve"> </w:t>
      </w:r>
      <w:r w:rsidRPr="003139B4">
        <w:rPr>
          <w:szCs w:val="24"/>
        </w:rPr>
        <w:t xml:space="preserve">for in-state students and </w:t>
      </w:r>
      <w:r w:rsidR="00DB2AB2">
        <w:rPr>
          <w:szCs w:val="24"/>
        </w:rPr>
        <w:t>53</w:t>
      </w:r>
      <w:r w:rsidR="00DB2AB2" w:rsidRPr="00DB2AB2">
        <w:rPr>
          <w:szCs w:val="24"/>
          <w:vertAlign w:val="superscript"/>
        </w:rPr>
        <w:t>rd</w:t>
      </w:r>
      <w:r w:rsidR="00DB2AB2">
        <w:rPr>
          <w:szCs w:val="24"/>
        </w:rPr>
        <w:t xml:space="preserve"> </w:t>
      </w:r>
      <w:r w:rsidRPr="003139B4">
        <w:rPr>
          <w:szCs w:val="24"/>
        </w:rPr>
        <w:t>for out-of-state students. These honors reflect both the affordability (e.g., tuition, fees, need-based and non-need-based aid and grants, etc.) and quality (e.g., academic rigor of the freshman class, admission, retention, and graduation rates, etc.) of the University.</w:t>
      </w:r>
      <w:r>
        <w:rPr>
          <w:szCs w:val="24"/>
        </w:rPr>
        <w:t xml:space="preserve"> </w:t>
      </w:r>
    </w:p>
    <w:p w14:paraId="17145D55" w14:textId="77777777" w:rsidR="00DC0E02" w:rsidRDefault="00DC0E02" w:rsidP="00C01A1B">
      <w:pPr>
        <w:pStyle w:val="QuickA"/>
        <w:numPr>
          <w:ilvl w:val="0"/>
          <w:numId w:val="0"/>
        </w:numPr>
        <w:tabs>
          <w:tab w:val="left" w:pos="-720"/>
        </w:tabs>
        <w:spacing w:after="120"/>
        <w:rPr>
          <w:szCs w:val="24"/>
        </w:rPr>
      </w:pPr>
      <w:r w:rsidRPr="003139B4">
        <w:rPr>
          <w:szCs w:val="24"/>
        </w:rPr>
        <w:t>In fall 201</w:t>
      </w:r>
      <w:r w:rsidR="00DB2AB2">
        <w:rPr>
          <w:szCs w:val="24"/>
        </w:rPr>
        <w:t>1</w:t>
      </w:r>
      <w:r w:rsidRPr="003139B4">
        <w:rPr>
          <w:szCs w:val="24"/>
        </w:rPr>
        <w:t>, SU was also able to enroll a larger percentage of econ</w:t>
      </w:r>
      <w:r w:rsidR="00B17941">
        <w:rPr>
          <w:szCs w:val="24"/>
        </w:rPr>
        <w:t>omically disadvantaged students</w:t>
      </w:r>
      <w:r w:rsidRPr="003139B4">
        <w:rPr>
          <w:szCs w:val="24"/>
        </w:rPr>
        <w:t xml:space="preserve"> totaling </w:t>
      </w:r>
      <w:r w:rsidR="00DB2AB2">
        <w:rPr>
          <w:szCs w:val="24"/>
        </w:rPr>
        <w:t>49.4</w:t>
      </w:r>
      <w:r w:rsidRPr="003139B4">
        <w:rPr>
          <w:szCs w:val="24"/>
        </w:rPr>
        <w:t xml:space="preserve">% (Objective 3.3). This represents a </w:t>
      </w:r>
      <w:r w:rsidR="00DB2AB2">
        <w:rPr>
          <w:szCs w:val="24"/>
        </w:rPr>
        <w:t>2.8</w:t>
      </w:r>
      <w:r w:rsidR="00607F94">
        <w:rPr>
          <w:szCs w:val="24"/>
        </w:rPr>
        <w:t xml:space="preserve"> </w:t>
      </w:r>
      <w:r w:rsidRPr="003139B4">
        <w:rPr>
          <w:szCs w:val="24"/>
        </w:rPr>
        <w:t>percentage point increase when comp</w:t>
      </w:r>
      <w:r w:rsidR="00607F94">
        <w:rPr>
          <w:szCs w:val="24"/>
        </w:rPr>
        <w:t>ared to the previous year. SU has developed</w:t>
      </w:r>
      <w:r w:rsidRPr="003139B4">
        <w:rPr>
          <w:szCs w:val="24"/>
        </w:rPr>
        <w:t xml:space="preserve"> a reputation for providing a great quality education at a great</w:t>
      </w:r>
      <w:r w:rsidRPr="000E667E">
        <w:rPr>
          <w:szCs w:val="24"/>
        </w:rPr>
        <w:t xml:space="preserve"> price</w:t>
      </w:r>
      <w:r w:rsidR="00607F94">
        <w:rPr>
          <w:szCs w:val="24"/>
        </w:rPr>
        <w:t>. Last year</w:t>
      </w:r>
      <w:r w:rsidR="00E51687">
        <w:rPr>
          <w:szCs w:val="24"/>
        </w:rPr>
        <w:t>,</w:t>
      </w:r>
      <w:r w:rsidR="00607F94">
        <w:rPr>
          <w:szCs w:val="24"/>
        </w:rPr>
        <w:t xml:space="preserve"> </w:t>
      </w:r>
      <w:r w:rsidRPr="000E667E">
        <w:rPr>
          <w:szCs w:val="24"/>
        </w:rPr>
        <w:t>data presented by The Delta Project, a</w:t>
      </w:r>
      <w:r>
        <w:rPr>
          <w:szCs w:val="24"/>
        </w:rPr>
        <w:t xml:space="preserve"> </w:t>
      </w:r>
      <w:r w:rsidRPr="000E667E">
        <w:rPr>
          <w:szCs w:val="24"/>
        </w:rPr>
        <w:t>third-party higher education productivity</w:t>
      </w:r>
      <w:r>
        <w:rPr>
          <w:szCs w:val="24"/>
        </w:rPr>
        <w:t xml:space="preserve"> </w:t>
      </w:r>
      <w:r w:rsidRPr="000E667E">
        <w:rPr>
          <w:szCs w:val="24"/>
        </w:rPr>
        <w:t>and accountability organization</w:t>
      </w:r>
      <w:r w:rsidR="00C01A1B">
        <w:rPr>
          <w:szCs w:val="24"/>
        </w:rPr>
        <w:t>, demonstrated that</w:t>
      </w:r>
      <w:r>
        <w:rPr>
          <w:szCs w:val="24"/>
        </w:rPr>
        <w:t xml:space="preserve"> </w:t>
      </w:r>
      <w:r w:rsidRPr="000E667E">
        <w:rPr>
          <w:szCs w:val="24"/>
        </w:rPr>
        <w:t xml:space="preserve">spending per degree </w:t>
      </w:r>
      <w:r w:rsidRPr="000E667E">
        <w:rPr>
          <w:szCs w:val="24"/>
        </w:rPr>
        <w:lastRenderedPageBreak/>
        <w:t xml:space="preserve">has decreased </w:t>
      </w:r>
      <w:r w:rsidR="00C01A1B">
        <w:rPr>
          <w:szCs w:val="24"/>
        </w:rPr>
        <w:t xml:space="preserve">at SU </w:t>
      </w:r>
      <w:r w:rsidRPr="000E667E">
        <w:rPr>
          <w:szCs w:val="24"/>
        </w:rPr>
        <w:t xml:space="preserve">while increasing elsewhere. </w:t>
      </w:r>
      <w:r w:rsidR="00C01A1B">
        <w:rPr>
          <w:szCs w:val="24"/>
        </w:rPr>
        <w:t>T</w:t>
      </w:r>
      <w:r w:rsidRPr="000E667E">
        <w:rPr>
          <w:szCs w:val="24"/>
        </w:rPr>
        <w:t>he Department of</w:t>
      </w:r>
      <w:r>
        <w:rPr>
          <w:szCs w:val="24"/>
        </w:rPr>
        <w:t xml:space="preserve"> </w:t>
      </w:r>
      <w:r w:rsidR="00E51687">
        <w:rPr>
          <w:szCs w:val="24"/>
        </w:rPr>
        <w:t>Legislative Services</w:t>
      </w:r>
      <w:r w:rsidRPr="000E667E">
        <w:rPr>
          <w:szCs w:val="24"/>
        </w:rPr>
        <w:t xml:space="preserve"> (DLS) </w:t>
      </w:r>
      <w:r w:rsidR="00C01A1B">
        <w:rPr>
          <w:szCs w:val="24"/>
        </w:rPr>
        <w:t xml:space="preserve">highlighted this in their </w:t>
      </w:r>
      <w:r w:rsidRPr="000E667E">
        <w:rPr>
          <w:szCs w:val="24"/>
        </w:rPr>
        <w:t>Higher</w:t>
      </w:r>
      <w:r>
        <w:rPr>
          <w:szCs w:val="24"/>
        </w:rPr>
        <w:t xml:space="preserve"> </w:t>
      </w:r>
      <w:r w:rsidRPr="000E667E">
        <w:rPr>
          <w:szCs w:val="24"/>
        </w:rPr>
        <w:t>Educat</w:t>
      </w:r>
      <w:r w:rsidR="00C01A1B">
        <w:rPr>
          <w:szCs w:val="24"/>
        </w:rPr>
        <w:t xml:space="preserve">ion Fiscal 2012 Budget Overview. DLS also </w:t>
      </w:r>
      <w:r w:rsidRPr="000E667E">
        <w:rPr>
          <w:szCs w:val="24"/>
        </w:rPr>
        <w:t>not</w:t>
      </w:r>
      <w:r w:rsidR="00C01A1B">
        <w:rPr>
          <w:szCs w:val="24"/>
        </w:rPr>
        <w:t>ed</w:t>
      </w:r>
      <w:r w:rsidRPr="000E667E">
        <w:rPr>
          <w:szCs w:val="24"/>
        </w:rPr>
        <w:t xml:space="preserve"> that SU ha</w:t>
      </w:r>
      <w:r>
        <w:rPr>
          <w:szCs w:val="24"/>
        </w:rPr>
        <w:t>d</w:t>
      </w:r>
      <w:r w:rsidRPr="000E667E">
        <w:rPr>
          <w:szCs w:val="24"/>
        </w:rPr>
        <w:t xml:space="preserve"> </w:t>
      </w:r>
      <w:r>
        <w:rPr>
          <w:szCs w:val="24"/>
        </w:rPr>
        <w:t xml:space="preserve">one of </w:t>
      </w:r>
      <w:r w:rsidRPr="000E667E">
        <w:rPr>
          <w:szCs w:val="24"/>
        </w:rPr>
        <w:t>the</w:t>
      </w:r>
      <w:r>
        <w:rPr>
          <w:szCs w:val="24"/>
        </w:rPr>
        <w:t xml:space="preserve"> </w:t>
      </w:r>
      <w:r w:rsidRPr="000E667E">
        <w:rPr>
          <w:szCs w:val="24"/>
        </w:rPr>
        <w:t xml:space="preserve">State’s </w:t>
      </w:r>
      <w:r>
        <w:rPr>
          <w:szCs w:val="24"/>
        </w:rPr>
        <w:t>h</w:t>
      </w:r>
      <w:r w:rsidRPr="000E667E">
        <w:rPr>
          <w:szCs w:val="24"/>
        </w:rPr>
        <w:t>ighest six-year</w:t>
      </w:r>
      <w:r>
        <w:rPr>
          <w:szCs w:val="24"/>
        </w:rPr>
        <w:t xml:space="preserve"> </w:t>
      </w:r>
      <w:r w:rsidRPr="000E667E">
        <w:rPr>
          <w:szCs w:val="24"/>
        </w:rPr>
        <w:t>graduation rate</w:t>
      </w:r>
      <w:r w:rsidR="00C01A1B">
        <w:rPr>
          <w:szCs w:val="24"/>
        </w:rPr>
        <w:t>s</w:t>
      </w:r>
      <w:r w:rsidRPr="000E667E">
        <w:rPr>
          <w:szCs w:val="24"/>
        </w:rPr>
        <w:t xml:space="preserve">, </w:t>
      </w:r>
      <w:r>
        <w:rPr>
          <w:szCs w:val="24"/>
        </w:rPr>
        <w:t>while s</w:t>
      </w:r>
      <w:r w:rsidRPr="000E667E">
        <w:rPr>
          <w:szCs w:val="24"/>
        </w:rPr>
        <w:t>pen</w:t>
      </w:r>
      <w:r>
        <w:rPr>
          <w:szCs w:val="24"/>
        </w:rPr>
        <w:t>ding</w:t>
      </w:r>
      <w:r w:rsidRPr="000E667E">
        <w:rPr>
          <w:szCs w:val="24"/>
        </w:rPr>
        <w:t xml:space="preserve"> the least per </w:t>
      </w:r>
      <w:r w:rsidR="00E51687">
        <w:rPr>
          <w:szCs w:val="24"/>
        </w:rPr>
        <w:t>full-time equivalent student (</w:t>
      </w:r>
      <w:r>
        <w:rPr>
          <w:szCs w:val="24"/>
        </w:rPr>
        <w:t>FTES</w:t>
      </w:r>
      <w:r w:rsidR="00E51687">
        <w:rPr>
          <w:szCs w:val="24"/>
        </w:rPr>
        <w:t>)</w:t>
      </w:r>
      <w:r>
        <w:rPr>
          <w:szCs w:val="24"/>
        </w:rPr>
        <w:t xml:space="preserve">. </w:t>
      </w:r>
      <w:r w:rsidR="00C01A1B">
        <w:rPr>
          <w:szCs w:val="24"/>
        </w:rPr>
        <w:t xml:space="preserve">The quality and value of an SU education are certainly commendable and supported by the data presented throughout this report. </w:t>
      </w:r>
    </w:p>
    <w:p w14:paraId="034D3E74" w14:textId="77777777" w:rsidR="00C01A1B" w:rsidRPr="00C01A1B" w:rsidRDefault="00C01A1B" w:rsidP="00C01A1B">
      <w:pPr>
        <w:pStyle w:val="QuickA"/>
        <w:numPr>
          <w:ilvl w:val="0"/>
          <w:numId w:val="0"/>
        </w:numPr>
        <w:tabs>
          <w:tab w:val="left" w:pos="-720"/>
        </w:tabs>
        <w:spacing w:after="120"/>
        <w:rPr>
          <w:b/>
          <w:szCs w:val="24"/>
          <w:highlight w:val="yellow"/>
        </w:rPr>
      </w:pPr>
      <w:r>
        <w:rPr>
          <w:b/>
          <w:szCs w:val="24"/>
        </w:rPr>
        <w:t>Diversity</w:t>
      </w:r>
    </w:p>
    <w:p w14:paraId="4561A0F0" w14:textId="77777777" w:rsidR="00DC0E02" w:rsidRPr="00B6759E" w:rsidRDefault="00E51687" w:rsidP="00DC0E02">
      <w:pPr>
        <w:spacing w:after="120"/>
        <w:rPr>
          <w:i/>
        </w:rPr>
      </w:pPr>
      <w:r>
        <w:rPr>
          <w:i/>
        </w:rPr>
        <w:t>MSP Goal: E</w:t>
      </w:r>
      <w:r w:rsidR="00DC0E02" w:rsidRPr="00B6759E">
        <w:rPr>
          <w:i/>
        </w:rPr>
        <w:t>nsure equal opportunity for Maryland’s diverse citizenry.</w:t>
      </w:r>
    </w:p>
    <w:p w14:paraId="4D67E4E4" w14:textId="77777777" w:rsidR="00DC0E02" w:rsidRDefault="00DC0E02" w:rsidP="00DC0E02">
      <w:pPr>
        <w:spacing w:after="120"/>
        <w:rPr>
          <w:i/>
          <w:szCs w:val="24"/>
        </w:rPr>
      </w:pPr>
      <w:r w:rsidRPr="00B6759E">
        <w:rPr>
          <w:i/>
          <w:szCs w:val="24"/>
        </w:rPr>
        <w:t>MFR Objectives: 3.1 &amp; 3.2</w:t>
      </w:r>
    </w:p>
    <w:p w14:paraId="25C4D72C" w14:textId="77777777" w:rsidR="00B35044" w:rsidRPr="00B6759E" w:rsidRDefault="00DC0E02" w:rsidP="00B6759E">
      <w:pPr>
        <w:spacing w:after="120"/>
      </w:pPr>
      <w:r w:rsidRPr="00ED72B8">
        <w:rPr>
          <w:szCs w:val="24"/>
        </w:rPr>
        <w:t xml:space="preserve">Given the changing demographics of the state of Maryland, it is imperative that the institution create an infrastructure to provide access and support to a more </w:t>
      </w:r>
      <w:r>
        <w:rPr>
          <w:szCs w:val="24"/>
        </w:rPr>
        <w:t xml:space="preserve">diverse population of students. </w:t>
      </w:r>
      <w:r w:rsidRPr="00ED72B8">
        <w:rPr>
          <w:szCs w:val="24"/>
        </w:rPr>
        <w:t>The University has increasingly emphasized its diversity initiatives and demographics—both of which are readily affirmed in the University’s trends and benchmarks. Fall 201</w:t>
      </w:r>
      <w:r w:rsidR="00DB2AB2">
        <w:rPr>
          <w:szCs w:val="24"/>
        </w:rPr>
        <w:t>1</w:t>
      </w:r>
      <w:r w:rsidRPr="00ED72B8">
        <w:rPr>
          <w:szCs w:val="24"/>
        </w:rPr>
        <w:t xml:space="preserve"> marked the most ethnically diverse student population in SU’s history </w:t>
      </w:r>
      <w:r w:rsidR="00162E17" w:rsidRPr="00F155A8">
        <w:rPr>
          <w:szCs w:val="24"/>
        </w:rPr>
        <w:t>(Objectives 3.1 and 3.2)</w:t>
      </w:r>
      <w:r w:rsidR="00162E17">
        <w:rPr>
          <w:szCs w:val="24"/>
        </w:rPr>
        <w:t xml:space="preserve">. </w:t>
      </w:r>
      <w:r w:rsidR="00D241E6">
        <w:rPr>
          <w:szCs w:val="24"/>
        </w:rPr>
        <w:t>During fall 20</w:t>
      </w:r>
      <w:r w:rsidR="00C96AFC">
        <w:rPr>
          <w:szCs w:val="24"/>
        </w:rPr>
        <w:t>1</w:t>
      </w:r>
      <w:r w:rsidR="00DB2AB2">
        <w:rPr>
          <w:szCs w:val="24"/>
        </w:rPr>
        <w:t>1</w:t>
      </w:r>
      <w:r w:rsidR="00162E17">
        <w:rPr>
          <w:szCs w:val="24"/>
        </w:rPr>
        <w:t xml:space="preserve">, SU increased its enrollment of minority undergraduate students for the </w:t>
      </w:r>
      <w:r w:rsidR="00DB2AB2">
        <w:rPr>
          <w:szCs w:val="24"/>
        </w:rPr>
        <w:t>sixth</w:t>
      </w:r>
      <w:r w:rsidR="00162E17">
        <w:rPr>
          <w:szCs w:val="24"/>
        </w:rPr>
        <w:t xml:space="preserve"> consecutive year. African</w:t>
      </w:r>
      <w:r w:rsidR="003320D4">
        <w:rPr>
          <w:szCs w:val="24"/>
        </w:rPr>
        <w:t>-</w:t>
      </w:r>
      <w:r w:rsidR="00162E17">
        <w:rPr>
          <w:szCs w:val="24"/>
        </w:rPr>
        <w:t>American students</w:t>
      </w:r>
      <w:r w:rsidR="00B35044">
        <w:rPr>
          <w:szCs w:val="24"/>
        </w:rPr>
        <w:t xml:space="preserve"> make up </w:t>
      </w:r>
      <w:r w:rsidR="00DB2AB2">
        <w:rPr>
          <w:szCs w:val="24"/>
        </w:rPr>
        <w:t>nearly</w:t>
      </w:r>
      <w:r w:rsidR="00B35044">
        <w:rPr>
          <w:szCs w:val="24"/>
        </w:rPr>
        <w:t xml:space="preserve"> 11</w:t>
      </w:r>
      <w:r w:rsidR="008504F2">
        <w:rPr>
          <w:szCs w:val="24"/>
        </w:rPr>
        <w:t>% of SU’s undergraduate students</w:t>
      </w:r>
      <w:r w:rsidR="00D241E6">
        <w:rPr>
          <w:szCs w:val="24"/>
        </w:rPr>
        <w:t xml:space="preserve"> </w:t>
      </w:r>
      <w:r w:rsidR="008504F2">
        <w:rPr>
          <w:szCs w:val="24"/>
        </w:rPr>
        <w:t>(Objective 3.1)</w:t>
      </w:r>
      <w:r w:rsidR="00B6759E">
        <w:rPr>
          <w:szCs w:val="24"/>
        </w:rPr>
        <w:t xml:space="preserve">. The </w:t>
      </w:r>
      <w:r w:rsidR="00B35044">
        <w:rPr>
          <w:szCs w:val="24"/>
        </w:rPr>
        <w:t>slight decrease in this percent</w:t>
      </w:r>
      <w:r w:rsidR="00DB2AB2">
        <w:rPr>
          <w:szCs w:val="24"/>
        </w:rPr>
        <w:t>age over last year’s figures, .6</w:t>
      </w:r>
      <w:r w:rsidR="00B35044">
        <w:rPr>
          <w:szCs w:val="24"/>
        </w:rPr>
        <w:t xml:space="preserve"> percentage points, is </w:t>
      </w:r>
      <w:r w:rsidR="00B6759E">
        <w:rPr>
          <w:szCs w:val="24"/>
        </w:rPr>
        <w:t>the result of</w:t>
      </w:r>
      <w:r w:rsidR="00B35044">
        <w:rPr>
          <w:szCs w:val="24"/>
        </w:rPr>
        <w:t xml:space="preserve"> a change in </w:t>
      </w:r>
      <w:r w:rsidR="00B6759E">
        <w:rPr>
          <w:szCs w:val="24"/>
        </w:rPr>
        <w:t>how race and ethnicity are now reported</w:t>
      </w:r>
      <w:r w:rsidR="00B35044">
        <w:rPr>
          <w:szCs w:val="24"/>
        </w:rPr>
        <w:t>. Based on new federal regulations, students may now indicate if they are multi-race or of Hispanic ethnicity. These race and ethnicity category changes make it challenging to compare this year’s data to that collected using the old categories</w:t>
      </w:r>
      <w:r w:rsidR="00811B8F">
        <w:rPr>
          <w:szCs w:val="24"/>
        </w:rPr>
        <w:t xml:space="preserve">. </w:t>
      </w:r>
      <w:r w:rsidR="00B6759E">
        <w:rPr>
          <w:szCs w:val="24"/>
        </w:rPr>
        <w:t>However, it is likely that African-American students are now being counted in other minority race categories.</w:t>
      </w:r>
    </w:p>
    <w:p w14:paraId="0B7F6C62" w14:textId="77777777" w:rsidR="00513949" w:rsidRPr="001848C2" w:rsidRDefault="00B35044" w:rsidP="0090405A">
      <w:pPr>
        <w:pStyle w:val="BodyText"/>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suppressAutoHyphens w:val="0"/>
        <w:spacing w:after="120"/>
        <w:rPr>
          <w:sz w:val="24"/>
          <w:szCs w:val="24"/>
        </w:rPr>
      </w:pPr>
      <w:r>
        <w:rPr>
          <w:sz w:val="24"/>
          <w:szCs w:val="24"/>
        </w:rPr>
        <w:t>This year</w:t>
      </w:r>
      <w:r w:rsidR="008504F2">
        <w:rPr>
          <w:sz w:val="24"/>
          <w:szCs w:val="24"/>
        </w:rPr>
        <w:t xml:space="preserve">, </w:t>
      </w:r>
      <w:r w:rsidR="00DB2AB2">
        <w:rPr>
          <w:sz w:val="24"/>
          <w:szCs w:val="24"/>
        </w:rPr>
        <w:t>20.2</w:t>
      </w:r>
      <w:r w:rsidR="00162E17">
        <w:rPr>
          <w:sz w:val="24"/>
          <w:szCs w:val="24"/>
        </w:rPr>
        <w:t xml:space="preserve">% of SU’s </w:t>
      </w:r>
      <w:r w:rsidR="00D241E6">
        <w:rPr>
          <w:sz w:val="24"/>
          <w:szCs w:val="24"/>
        </w:rPr>
        <w:t xml:space="preserve">undergraduate </w:t>
      </w:r>
      <w:r w:rsidR="00162E17">
        <w:rPr>
          <w:sz w:val="24"/>
          <w:szCs w:val="24"/>
        </w:rPr>
        <w:t xml:space="preserve">enrollment is composed of minority students, </w:t>
      </w:r>
      <w:r w:rsidR="00C73452">
        <w:rPr>
          <w:sz w:val="24"/>
          <w:szCs w:val="24"/>
        </w:rPr>
        <w:t xml:space="preserve">a </w:t>
      </w:r>
      <w:r w:rsidR="00DB2AB2">
        <w:rPr>
          <w:sz w:val="24"/>
          <w:szCs w:val="24"/>
        </w:rPr>
        <w:t>.7</w:t>
      </w:r>
      <w:r w:rsidR="00C73452">
        <w:rPr>
          <w:sz w:val="24"/>
          <w:szCs w:val="24"/>
        </w:rPr>
        <w:t xml:space="preserve"> percentage point </w:t>
      </w:r>
      <w:r w:rsidR="00D241E6" w:rsidRPr="00EA4D41">
        <w:rPr>
          <w:sz w:val="24"/>
          <w:szCs w:val="24"/>
        </w:rPr>
        <w:t>increase</w:t>
      </w:r>
      <w:r w:rsidR="00EA4D41">
        <w:rPr>
          <w:sz w:val="24"/>
          <w:szCs w:val="24"/>
        </w:rPr>
        <w:t xml:space="preserve"> over the </w:t>
      </w:r>
      <w:r w:rsidR="00EA4D41" w:rsidRPr="00836D81">
        <w:rPr>
          <w:sz w:val="24"/>
          <w:szCs w:val="24"/>
        </w:rPr>
        <w:t>previous year (Objective 3.2).</w:t>
      </w:r>
      <w:r w:rsidR="00D241E6" w:rsidRPr="00836D81">
        <w:rPr>
          <w:sz w:val="24"/>
          <w:szCs w:val="24"/>
        </w:rPr>
        <w:t xml:space="preserve"> </w:t>
      </w:r>
      <w:r w:rsidR="00162E17" w:rsidRPr="00836D81">
        <w:rPr>
          <w:sz w:val="24"/>
          <w:szCs w:val="24"/>
        </w:rPr>
        <w:t>Over a 10</w:t>
      </w:r>
      <w:r w:rsidR="00DA2FDB">
        <w:rPr>
          <w:sz w:val="24"/>
          <w:szCs w:val="24"/>
        </w:rPr>
        <w:t>-</w:t>
      </w:r>
      <w:r w:rsidR="00162E17" w:rsidRPr="00836D81">
        <w:rPr>
          <w:sz w:val="24"/>
          <w:szCs w:val="24"/>
        </w:rPr>
        <w:t xml:space="preserve">year period, SU has </w:t>
      </w:r>
      <w:r w:rsidR="00A21F20">
        <w:rPr>
          <w:sz w:val="24"/>
          <w:szCs w:val="24"/>
        </w:rPr>
        <w:t>increased</w:t>
      </w:r>
      <w:r w:rsidR="00162E17" w:rsidRPr="00836D81">
        <w:rPr>
          <w:sz w:val="24"/>
          <w:szCs w:val="24"/>
        </w:rPr>
        <w:t xml:space="preserve"> the </w:t>
      </w:r>
      <w:r w:rsidR="00A21F20">
        <w:rPr>
          <w:sz w:val="24"/>
          <w:szCs w:val="24"/>
        </w:rPr>
        <w:t xml:space="preserve">number of </w:t>
      </w:r>
      <w:r w:rsidR="00162E17" w:rsidRPr="00836D81">
        <w:rPr>
          <w:sz w:val="24"/>
          <w:szCs w:val="24"/>
        </w:rPr>
        <w:t>enrolled African-Am</w:t>
      </w:r>
      <w:r w:rsidR="00CC646F" w:rsidRPr="00836D81">
        <w:rPr>
          <w:sz w:val="24"/>
          <w:szCs w:val="24"/>
        </w:rPr>
        <w:t xml:space="preserve">erican </w:t>
      </w:r>
      <w:r w:rsidR="00686484" w:rsidRPr="00836D81">
        <w:rPr>
          <w:sz w:val="24"/>
          <w:szCs w:val="24"/>
        </w:rPr>
        <w:t xml:space="preserve">undergraduate </w:t>
      </w:r>
      <w:r w:rsidR="00CC646F" w:rsidRPr="00836D81">
        <w:rPr>
          <w:sz w:val="24"/>
          <w:szCs w:val="24"/>
        </w:rPr>
        <w:t>students</w:t>
      </w:r>
      <w:r w:rsidR="00A21F20">
        <w:rPr>
          <w:sz w:val="24"/>
          <w:szCs w:val="24"/>
        </w:rPr>
        <w:t xml:space="preserve"> by 87%</w:t>
      </w:r>
      <w:r w:rsidR="00CC646F" w:rsidRPr="00836D81">
        <w:rPr>
          <w:sz w:val="24"/>
          <w:szCs w:val="24"/>
        </w:rPr>
        <w:t xml:space="preserve"> </w:t>
      </w:r>
      <w:r w:rsidR="00A21F20">
        <w:rPr>
          <w:sz w:val="24"/>
          <w:szCs w:val="24"/>
        </w:rPr>
        <w:t xml:space="preserve">(from 450 </w:t>
      </w:r>
      <w:r w:rsidR="00494E6A" w:rsidRPr="00836D81">
        <w:rPr>
          <w:sz w:val="24"/>
          <w:szCs w:val="24"/>
        </w:rPr>
        <w:t>in fall 200</w:t>
      </w:r>
      <w:r w:rsidR="00A21F20">
        <w:rPr>
          <w:sz w:val="24"/>
          <w:szCs w:val="24"/>
        </w:rPr>
        <w:t>1</w:t>
      </w:r>
      <w:r w:rsidR="00494E6A" w:rsidRPr="00836D81">
        <w:rPr>
          <w:sz w:val="24"/>
          <w:szCs w:val="24"/>
        </w:rPr>
        <w:t xml:space="preserve"> to 8</w:t>
      </w:r>
      <w:r w:rsidR="00A21F20">
        <w:rPr>
          <w:sz w:val="24"/>
          <w:szCs w:val="24"/>
        </w:rPr>
        <w:t>42</w:t>
      </w:r>
      <w:r w:rsidR="00686484" w:rsidRPr="00836D81">
        <w:rPr>
          <w:sz w:val="24"/>
          <w:szCs w:val="24"/>
        </w:rPr>
        <w:t xml:space="preserve"> in fall 20</w:t>
      </w:r>
      <w:r w:rsidR="00494E6A" w:rsidRPr="00836D81">
        <w:rPr>
          <w:sz w:val="24"/>
          <w:szCs w:val="24"/>
        </w:rPr>
        <w:t>1</w:t>
      </w:r>
      <w:r w:rsidR="00A21F20">
        <w:rPr>
          <w:sz w:val="24"/>
          <w:szCs w:val="24"/>
        </w:rPr>
        <w:t>1</w:t>
      </w:r>
      <w:r w:rsidR="00162E17" w:rsidRPr="00836D81">
        <w:rPr>
          <w:sz w:val="24"/>
          <w:szCs w:val="24"/>
        </w:rPr>
        <w:t>)</w:t>
      </w:r>
      <w:r w:rsidR="00836D81">
        <w:rPr>
          <w:sz w:val="24"/>
          <w:szCs w:val="24"/>
        </w:rPr>
        <w:t xml:space="preserve"> and</w:t>
      </w:r>
      <w:r w:rsidR="00A21F20">
        <w:rPr>
          <w:sz w:val="24"/>
          <w:szCs w:val="24"/>
        </w:rPr>
        <w:t xml:space="preserve"> more than doubled</w:t>
      </w:r>
      <w:r w:rsidR="00836D81">
        <w:rPr>
          <w:sz w:val="24"/>
          <w:szCs w:val="24"/>
        </w:rPr>
        <w:t xml:space="preserve"> minority student</w:t>
      </w:r>
      <w:r w:rsidR="00A21F20">
        <w:rPr>
          <w:sz w:val="24"/>
          <w:szCs w:val="24"/>
        </w:rPr>
        <w:t xml:space="preserve"> enrollment</w:t>
      </w:r>
      <w:r w:rsidR="00836D81">
        <w:rPr>
          <w:sz w:val="24"/>
          <w:szCs w:val="24"/>
        </w:rPr>
        <w:t xml:space="preserve"> </w:t>
      </w:r>
      <w:r w:rsidR="00836D81" w:rsidRPr="00836D81">
        <w:rPr>
          <w:sz w:val="24"/>
          <w:szCs w:val="24"/>
        </w:rPr>
        <w:t xml:space="preserve">(from </w:t>
      </w:r>
      <w:r w:rsidR="00A21F20">
        <w:rPr>
          <w:sz w:val="24"/>
          <w:szCs w:val="24"/>
        </w:rPr>
        <w:t>671</w:t>
      </w:r>
      <w:r w:rsidR="00836D81">
        <w:rPr>
          <w:sz w:val="24"/>
          <w:szCs w:val="24"/>
        </w:rPr>
        <w:t xml:space="preserve"> in fall 2000 to 1,</w:t>
      </w:r>
      <w:r w:rsidR="00A21F20">
        <w:rPr>
          <w:sz w:val="24"/>
          <w:szCs w:val="24"/>
        </w:rPr>
        <w:t>575 in fall 2011</w:t>
      </w:r>
      <w:r w:rsidR="00836D81" w:rsidRPr="00836D81">
        <w:rPr>
          <w:sz w:val="24"/>
          <w:szCs w:val="24"/>
        </w:rPr>
        <w:t>)</w:t>
      </w:r>
      <w:r w:rsidR="00836D81">
        <w:rPr>
          <w:sz w:val="24"/>
          <w:szCs w:val="24"/>
        </w:rPr>
        <w:t xml:space="preserve">. Our number of </w:t>
      </w:r>
      <w:r w:rsidR="00162E17" w:rsidRPr="00836D81">
        <w:rPr>
          <w:sz w:val="24"/>
          <w:szCs w:val="24"/>
        </w:rPr>
        <w:t>Hispanic</w:t>
      </w:r>
      <w:r w:rsidR="00494E6A" w:rsidRPr="00836D81">
        <w:rPr>
          <w:sz w:val="24"/>
          <w:szCs w:val="24"/>
        </w:rPr>
        <w:t xml:space="preserve"> undergraduate students </w:t>
      </w:r>
      <w:r w:rsidR="00836D81">
        <w:rPr>
          <w:sz w:val="24"/>
          <w:szCs w:val="24"/>
        </w:rPr>
        <w:t xml:space="preserve">has </w:t>
      </w:r>
      <w:r w:rsidR="00A21F20">
        <w:rPr>
          <w:sz w:val="24"/>
          <w:szCs w:val="24"/>
        </w:rPr>
        <w:t>tri</w:t>
      </w:r>
      <w:r w:rsidR="00836D81">
        <w:rPr>
          <w:sz w:val="24"/>
          <w:szCs w:val="24"/>
        </w:rPr>
        <w:t xml:space="preserve">pled </w:t>
      </w:r>
      <w:r w:rsidR="00A21F20">
        <w:rPr>
          <w:sz w:val="24"/>
          <w:szCs w:val="24"/>
        </w:rPr>
        <w:t>(from 83 in fall 2001</w:t>
      </w:r>
      <w:r w:rsidR="00494E6A" w:rsidRPr="00836D81">
        <w:rPr>
          <w:sz w:val="24"/>
          <w:szCs w:val="24"/>
        </w:rPr>
        <w:t xml:space="preserve"> to </w:t>
      </w:r>
      <w:r w:rsidR="00A21F20">
        <w:rPr>
          <w:sz w:val="24"/>
          <w:szCs w:val="24"/>
        </w:rPr>
        <w:t>331</w:t>
      </w:r>
      <w:r w:rsidR="00162E17" w:rsidRPr="00836D81">
        <w:rPr>
          <w:sz w:val="24"/>
          <w:szCs w:val="24"/>
        </w:rPr>
        <w:t xml:space="preserve"> in f</w:t>
      </w:r>
      <w:r w:rsidR="00494E6A" w:rsidRPr="00836D81">
        <w:rPr>
          <w:sz w:val="24"/>
          <w:szCs w:val="24"/>
        </w:rPr>
        <w:t>all 201</w:t>
      </w:r>
      <w:r w:rsidR="00A21F20">
        <w:rPr>
          <w:sz w:val="24"/>
          <w:szCs w:val="24"/>
        </w:rPr>
        <w:t>1</w:t>
      </w:r>
      <w:r w:rsidR="00162E17" w:rsidRPr="00836D81">
        <w:rPr>
          <w:sz w:val="24"/>
          <w:szCs w:val="24"/>
        </w:rPr>
        <w:t>)</w:t>
      </w:r>
      <w:r w:rsidR="00811B8F" w:rsidRPr="00836D81">
        <w:rPr>
          <w:sz w:val="24"/>
          <w:szCs w:val="24"/>
        </w:rPr>
        <w:t xml:space="preserve">. </w:t>
      </w:r>
      <w:r w:rsidR="00F2462F" w:rsidRPr="00836D81">
        <w:rPr>
          <w:sz w:val="24"/>
          <w:szCs w:val="24"/>
        </w:rPr>
        <w:t xml:space="preserve">This can be compared to an increase in overall </w:t>
      </w:r>
      <w:r w:rsidR="00A21F20">
        <w:rPr>
          <w:sz w:val="24"/>
          <w:szCs w:val="24"/>
        </w:rPr>
        <w:t>undergraduate</w:t>
      </w:r>
      <w:r w:rsidR="00F2462F" w:rsidRPr="00836D81">
        <w:rPr>
          <w:sz w:val="24"/>
          <w:szCs w:val="24"/>
        </w:rPr>
        <w:t xml:space="preserve"> e</w:t>
      </w:r>
      <w:r w:rsidR="00494E6A" w:rsidRPr="00836D81">
        <w:rPr>
          <w:sz w:val="24"/>
          <w:szCs w:val="24"/>
        </w:rPr>
        <w:t>nr</w:t>
      </w:r>
      <w:r w:rsidR="00A21F20">
        <w:rPr>
          <w:sz w:val="24"/>
          <w:szCs w:val="24"/>
        </w:rPr>
        <w:t>ollment of about 30</w:t>
      </w:r>
      <w:r w:rsidR="00686484" w:rsidRPr="00836D81">
        <w:rPr>
          <w:sz w:val="24"/>
          <w:szCs w:val="24"/>
        </w:rPr>
        <w:t xml:space="preserve">% since </w:t>
      </w:r>
      <w:r w:rsidR="00A21F20">
        <w:rPr>
          <w:sz w:val="24"/>
          <w:szCs w:val="24"/>
        </w:rPr>
        <w:t>2001</w:t>
      </w:r>
      <w:r w:rsidR="00F2462F" w:rsidRPr="00836D81">
        <w:rPr>
          <w:sz w:val="24"/>
          <w:szCs w:val="24"/>
        </w:rPr>
        <w:t xml:space="preserve">. This demonstrates the University’s commitment to </w:t>
      </w:r>
      <w:r w:rsidR="00640003" w:rsidRPr="00836D81">
        <w:rPr>
          <w:sz w:val="24"/>
          <w:szCs w:val="24"/>
        </w:rPr>
        <w:t xml:space="preserve">a </w:t>
      </w:r>
      <w:r w:rsidR="00640003" w:rsidRPr="001848C2">
        <w:rPr>
          <w:sz w:val="24"/>
          <w:szCs w:val="24"/>
        </w:rPr>
        <w:t xml:space="preserve">diverse student body. </w:t>
      </w:r>
    </w:p>
    <w:p w14:paraId="326DA453" w14:textId="77777777" w:rsidR="00162E17" w:rsidRPr="000F4688" w:rsidRDefault="00B6759E" w:rsidP="00DF288A">
      <w:pPr>
        <w:spacing w:after="120"/>
        <w:rPr>
          <w:b/>
          <w:szCs w:val="24"/>
        </w:rPr>
      </w:pPr>
      <w:r w:rsidRPr="001848C2">
        <w:rPr>
          <w:b/>
          <w:szCs w:val="24"/>
        </w:rPr>
        <w:t>A</w:t>
      </w:r>
      <w:r w:rsidR="00162E17" w:rsidRPr="001848C2">
        <w:rPr>
          <w:b/>
          <w:szCs w:val="24"/>
        </w:rPr>
        <w:t xml:space="preserve"> Student-Centered Learning System</w:t>
      </w:r>
    </w:p>
    <w:p w14:paraId="3345CAE3" w14:textId="77777777" w:rsidR="001F29BB" w:rsidRPr="000F4688" w:rsidRDefault="008645EF" w:rsidP="00DF288A">
      <w:pPr>
        <w:spacing w:after="120"/>
        <w:rPr>
          <w:i/>
          <w:szCs w:val="24"/>
        </w:rPr>
      </w:pPr>
      <w:r w:rsidRPr="000F4688">
        <w:rPr>
          <w:i/>
          <w:szCs w:val="24"/>
        </w:rPr>
        <w:t xml:space="preserve">MSP Goals: </w:t>
      </w:r>
      <w:r w:rsidR="007078E2" w:rsidRPr="000F4688">
        <w:rPr>
          <w:i/>
          <w:szCs w:val="24"/>
        </w:rPr>
        <w:t>A</w:t>
      </w:r>
      <w:r w:rsidR="001F29BB" w:rsidRPr="000F4688">
        <w:rPr>
          <w:i/>
          <w:szCs w:val="24"/>
        </w:rPr>
        <w:t>chieve a system of postsecondary education that promotes student-centered learning to meet the needs of all Marylanders.</w:t>
      </w:r>
    </w:p>
    <w:p w14:paraId="17852BED" w14:textId="77777777" w:rsidR="00A07E0B" w:rsidRPr="00607F94" w:rsidRDefault="00A07E0B" w:rsidP="00DF288A">
      <w:pPr>
        <w:spacing w:after="120"/>
        <w:rPr>
          <w:i/>
          <w:color w:val="FF0000"/>
          <w:szCs w:val="24"/>
        </w:rPr>
      </w:pPr>
      <w:r w:rsidRPr="000F4688">
        <w:rPr>
          <w:i/>
          <w:szCs w:val="24"/>
        </w:rPr>
        <w:t>MFR Objectives 1.</w:t>
      </w:r>
      <w:r w:rsidR="005D0EE4" w:rsidRPr="000F4688">
        <w:rPr>
          <w:i/>
          <w:szCs w:val="24"/>
        </w:rPr>
        <w:t>3, 1.4, 2.1, 2.2</w:t>
      </w:r>
    </w:p>
    <w:p w14:paraId="6AF2E52F" w14:textId="77777777" w:rsidR="00152053" w:rsidRDefault="00162E17" w:rsidP="00DF288A">
      <w:pPr>
        <w:pStyle w:val="BodyText"/>
        <w:spacing w:after="120"/>
        <w:rPr>
          <w:sz w:val="24"/>
          <w:szCs w:val="24"/>
        </w:rPr>
      </w:pPr>
      <w:r w:rsidRPr="001A77E3">
        <w:rPr>
          <w:sz w:val="24"/>
          <w:szCs w:val="24"/>
        </w:rPr>
        <w:t>SU states in its mission that “our highest purpose is to empower our students with the knowledge, skills, and core values that contribute to active citizenship, gainful employment, and life</w:t>
      </w:r>
      <w:r w:rsidRPr="001A77E3">
        <w:rPr>
          <w:sz w:val="24"/>
          <w:szCs w:val="24"/>
        </w:rPr>
        <w:noBreakHyphen/>
        <w:t xml:space="preserve">long learning in a democratic society and interdependent world.” </w:t>
      </w:r>
      <w:r>
        <w:rPr>
          <w:sz w:val="24"/>
          <w:szCs w:val="24"/>
        </w:rPr>
        <w:t xml:space="preserve">This includes alumni satisfaction with the education </w:t>
      </w:r>
      <w:r w:rsidR="00152053">
        <w:rPr>
          <w:sz w:val="24"/>
          <w:szCs w:val="24"/>
        </w:rPr>
        <w:t>and preparation they received</w:t>
      </w:r>
      <w:r w:rsidR="00DA2FDB">
        <w:rPr>
          <w:sz w:val="24"/>
          <w:szCs w:val="24"/>
        </w:rPr>
        <w:t>,</w:t>
      </w:r>
      <w:r w:rsidR="00152053">
        <w:rPr>
          <w:sz w:val="24"/>
          <w:szCs w:val="24"/>
        </w:rPr>
        <w:t xml:space="preserve"> as well as, </w:t>
      </w:r>
      <w:r>
        <w:rPr>
          <w:sz w:val="24"/>
          <w:szCs w:val="24"/>
        </w:rPr>
        <w:t xml:space="preserve">student success </w:t>
      </w:r>
      <w:r w:rsidR="00152053">
        <w:rPr>
          <w:sz w:val="24"/>
          <w:szCs w:val="24"/>
        </w:rPr>
        <w:t xml:space="preserve">indicators such as employment rates and pass rates on </w:t>
      </w:r>
      <w:r>
        <w:rPr>
          <w:sz w:val="24"/>
          <w:szCs w:val="24"/>
        </w:rPr>
        <w:t>professional licensure and certification exams</w:t>
      </w:r>
      <w:r w:rsidR="00152053">
        <w:rPr>
          <w:sz w:val="24"/>
          <w:szCs w:val="24"/>
        </w:rPr>
        <w:t xml:space="preserve"> (discussed in an earlier section</w:t>
      </w:r>
      <w:r w:rsidR="000F4688">
        <w:rPr>
          <w:sz w:val="24"/>
          <w:szCs w:val="24"/>
        </w:rPr>
        <w:t>)</w:t>
      </w:r>
      <w:r w:rsidR="00152053">
        <w:rPr>
          <w:sz w:val="24"/>
          <w:szCs w:val="24"/>
        </w:rPr>
        <w:t xml:space="preserve">. </w:t>
      </w:r>
    </w:p>
    <w:p w14:paraId="034F1DDC" w14:textId="77777777" w:rsidR="007078E2" w:rsidRPr="00FA3E84" w:rsidRDefault="007078E2" w:rsidP="007078E2">
      <w:pPr>
        <w:pStyle w:val="BodyText"/>
        <w:spacing w:after="120"/>
        <w:rPr>
          <w:color w:val="FF0000"/>
          <w:sz w:val="24"/>
          <w:szCs w:val="24"/>
        </w:rPr>
      </w:pPr>
      <w:r w:rsidRPr="008D64C2">
        <w:rPr>
          <w:sz w:val="24"/>
          <w:szCs w:val="24"/>
        </w:rPr>
        <w:t xml:space="preserve">Data </w:t>
      </w:r>
      <w:r>
        <w:rPr>
          <w:sz w:val="24"/>
          <w:szCs w:val="24"/>
        </w:rPr>
        <w:t>are</w:t>
      </w:r>
      <w:r w:rsidRPr="008D64C2">
        <w:rPr>
          <w:sz w:val="24"/>
          <w:szCs w:val="24"/>
        </w:rPr>
        <w:t xml:space="preserve"> collected </w:t>
      </w:r>
      <w:r>
        <w:rPr>
          <w:sz w:val="24"/>
          <w:szCs w:val="24"/>
        </w:rPr>
        <w:t xml:space="preserve">on a triennial basis </w:t>
      </w:r>
      <w:r w:rsidRPr="008D64C2">
        <w:rPr>
          <w:sz w:val="24"/>
          <w:szCs w:val="24"/>
        </w:rPr>
        <w:t>using an alumni survey to addr</w:t>
      </w:r>
      <w:r>
        <w:rPr>
          <w:sz w:val="24"/>
          <w:szCs w:val="24"/>
        </w:rPr>
        <w:t>ess Objectives 1.3, 1.4, 2.1, and 2.2</w:t>
      </w:r>
      <w:r w:rsidRPr="008D64C2">
        <w:rPr>
          <w:sz w:val="24"/>
          <w:szCs w:val="24"/>
        </w:rPr>
        <w:t xml:space="preserve">. </w:t>
      </w:r>
      <w:r>
        <w:rPr>
          <w:sz w:val="24"/>
          <w:szCs w:val="24"/>
        </w:rPr>
        <w:t>As such, the most recent survey is based on students that</w:t>
      </w:r>
      <w:r w:rsidRPr="00A20117">
        <w:rPr>
          <w:sz w:val="24"/>
          <w:szCs w:val="24"/>
        </w:rPr>
        <w:t xml:space="preserve"> g</w:t>
      </w:r>
      <w:r>
        <w:rPr>
          <w:sz w:val="24"/>
          <w:szCs w:val="24"/>
        </w:rPr>
        <w:t xml:space="preserve">raduated in August/December 2009 and January/May 2010. It should be noted that the response rate for the alumni survey was </w:t>
      </w:r>
      <w:r>
        <w:rPr>
          <w:sz w:val="24"/>
          <w:szCs w:val="24"/>
        </w:rPr>
        <w:lastRenderedPageBreak/>
        <w:t xml:space="preserve">10%. </w:t>
      </w:r>
      <w:r w:rsidR="00DA2FDB">
        <w:rPr>
          <w:sz w:val="24"/>
          <w:szCs w:val="24"/>
        </w:rPr>
        <w:t>Consequently</w:t>
      </w:r>
      <w:r>
        <w:rPr>
          <w:sz w:val="24"/>
          <w:szCs w:val="24"/>
        </w:rPr>
        <w:t xml:space="preserve">, the opinions and employment information for most of our alums were not captured on this survey. Results revealed that 100% and 95% </w:t>
      </w:r>
      <w:r w:rsidRPr="008D64C2">
        <w:rPr>
          <w:sz w:val="24"/>
          <w:szCs w:val="24"/>
        </w:rPr>
        <w:t xml:space="preserve">of SU graduates </w:t>
      </w:r>
      <w:r>
        <w:rPr>
          <w:sz w:val="24"/>
          <w:szCs w:val="24"/>
        </w:rPr>
        <w:t xml:space="preserve">are </w:t>
      </w:r>
      <w:r w:rsidRPr="008D64C2">
        <w:rPr>
          <w:sz w:val="24"/>
          <w:szCs w:val="24"/>
        </w:rPr>
        <w:t>satisfied with their level of preparation for graduate school (Objective 1.3) and employment (Objective 1.4)</w:t>
      </w:r>
      <w:r>
        <w:rPr>
          <w:sz w:val="24"/>
          <w:szCs w:val="24"/>
        </w:rPr>
        <w:t>, respectively.</w:t>
      </w:r>
      <w:r w:rsidRPr="008D64C2">
        <w:rPr>
          <w:sz w:val="24"/>
          <w:szCs w:val="24"/>
        </w:rPr>
        <w:t xml:space="preserve"> </w:t>
      </w:r>
      <w:r>
        <w:rPr>
          <w:sz w:val="24"/>
          <w:szCs w:val="24"/>
        </w:rPr>
        <w:t>The 2011 data showed that 87</w:t>
      </w:r>
      <w:r w:rsidRPr="008D64C2">
        <w:rPr>
          <w:sz w:val="24"/>
          <w:szCs w:val="24"/>
        </w:rPr>
        <w:t>% of those responding to an alumni survey were employed one year after graduation</w:t>
      </w:r>
      <w:r>
        <w:rPr>
          <w:sz w:val="24"/>
          <w:szCs w:val="24"/>
        </w:rPr>
        <w:t xml:space="preserve"> (Objective 2.2</w:t>
      </w:r>
      <w:r w:rsidRPr="008D64C2">
        <w:rPr>
          <w:sz w:val="24"/>
          <w:szCs w:val="24"/>
        </w:rPr>
        <w:t>)</w:t>
      </w:r>
      <w:r>
        <w:rPr>
          <w:sz w:val="24"/>
          <w:szCs w:val="24"/>
        </w:rPr>
        <w:t xml:space="preserve">, with 75% employed in the state of Maryland </w:t>
      </w:r>
      <w:r w:rsidRPr="00E56DE5">
        <w:rPr>
          <w:sz w:val="24"/>
          <w:szCs w:val="24"/>
        </w:rPr>
        <w:t>(Objective 2.1). Given the current state of the economy, it is a testament to the quality of our graduates that so many of our recent graduates found employment.</w:t>
      </w:r>
      <w:r w:rsidRPr="00FA3E84">
        <w:rPr>
          <w:color w:val="FF0000"/>
          <w:sz w:val="24"/>
          <w:szCs w:val="24"/>
        </w:rPr>
        <w:t xml:space="preserve"> </w:t>
      </w:r>
    </w:p>
    <w:p w14:paraId="0D39360D" w14:textId="77777777" w:rsidR="00607F94" w:rsidRPr="000F4688" w:rsidRDefault="00B6759E" w:rsidP="00DF288A">
      <w:pPr>
        <w:pStyle w:val="BodyText"/>
        <w:spacing w:after="120"/>
        <w:rPr>
          <w:b/>
          <w:sz w:val="24"/>
          <w:szCs w:val="24"/>
        </w:rPr>
      </w:pPr>
      <w:r w:rsidRPr="000F4688">
        <w:rPr>
          <w:b/>
          <w:sz w:val="24"/>
          <w:szCs w:val="24"/>
        </w:rPr>
        <w:t xml:space="preserve">Economic Growth and Vitality </w:t>
      </w:r>
    </w:p>
    <w:p w14:paraId="66DB3BE2" w14:textId="77777777" w:rsidR="00B6759E" w:rsidRPr="000F4688" w:rsidRDefault="00B6759E" w:rsidP="00DF288A">
      <w:pPr>
        <w:pStyle w:val="BodyText"/>
        <w:spacing w:after="120"/>
        <w:rPr>
          <w:i/>
          <w:sz w:val="24"/>
          <w:szCs w:val="24"/>
        </w:rPr>
      </w:pPr>
      <w:r w:rsidRPr="000F4688">
        <w:rPr>
          <w:i/>
          <w:sz w:val="24"/>
          <w:szCs w:val="24"/>
        </w:rPr>
        <w:t xml:space="preserve">MSP Goals: Promote economic growth and vitality through the advancement of research </w:t>
      </w:r>
      <w:r w:rsidR="007078E2" w:rsidRPr="000F4688">
        <w:rPr>
          <w:i/>
          <w:sz w:val="24"/>
          <w:szCs w:val="24"/>
        </w:rPr>
        <w:t>and the development of a highly qualified workforce</w:t>
      </w:r>
      <w:r w:rsidR="00BA66BD">
        <w:rPr>
          <w:i/>
          <w:sz w:val="24"/>
          <w:szCs w:val="24"/>
        </w:rPr>
        <w:t>.</w:t>
      </w:r>
    </w:p>
    <w:p w14:paraId="03952F8D" w14:textId="77777777" w:rsidR="00B6759E" w:rsidRPr="005D0EE4" w:rsidRDefault="00B6759E" w:rsidP="00B6759E">
      <w:pPr>
        <w:spacing w:after="120"/>
        <w:rPr>
          <w:i/>
          <w:szCs w:val="24"/>
        </w:rPr>
      </w:pPr>
      <w:r w:rsidRPr="005A6EA4">
        <w:rPr>
          <w:i/>
          <w:szCs w:val="24"/>
        </w:rPr>
        <w:t xml:space="preserve">MFR Objectives </w:t>
      </w:r>
      <w:r w:rsidR="005D0EE4">
        <w:rPr>
          <w:i/>
          <w:szCs w:val="24"/>
        </w:rPr>
        <w:t>2.3</w:t>
      </w:r>
      <w:r>
        <w:rPr>
          <w:i/>
          <w:szCs w:val="24"/>
        </w:rPr>
        <w:t>-2.5</w:t>
      </w:r>
      <w:r w:rsidRPr="005A6EA4">
        <w:rPr>
          <w:i/>
          <w:szCs w:val="24"/>
        </w:rPr>
        <w:t>;</w:t>
      </w:r>
      <w:r w:rsidRPr="005D0EE4">
        <w:rPr>
          <w:i/>
          <w:szCs w:val="24"/>
        </w:rPr>
        <w:t xml:space="preserve"> Additional Indicators </w:t>
      </w:r>
      <w:r w:rsidR="00C6647C">
        <w:rPr>
          <w:i/>
          <w:szCs w:val="24"/>
        </w:rPr>
        <w:t>1-7</w:t>
      </w:r>
    </w:p>
    <w:p w14:paraId="0D4DF257" w14:textId="77777777" w:rsidR="00B6759E" w:rsidRDefault="00BA66BD" w:rsidP="00DF288A">
      <w:pPr>
        <w:pStyle w:val="BodyText"/>
        <w:spacing w:after="120"/>
        <w:rPr>
          <w:sz w:val="24"/>
          <w:szCs w:val="24"/>
        </w:rPr>
      </w:pPr>
      <w:r>
        <w:rPr>
          <w:sz w:val="24"/>
          <w:szCs w:val="24"/>
        </w:rPr>
        <w:t xml:space="preserve">Much like the MSP goals, </w:t>
      </w:r>
      <w:r w:rsidR="005D0EE4">
        <w:rPr>
          <w:sz w:val="24"/>
          <w:szCs w:val="24"/>
        </w:rPr>
        <w:t xml:space="preserve">SU also maintains its own strategic plan goals to support economic growth </w:t>
      </w:r>
      <w:r w:rsidR="005D0EE4" w:rsidRPr="00FF37EB">
        <w:rPr>
          <w:sz w:val="24"/>
          <w:szCs w:val="24"/>
        </w:rPr>
        <w:t>by building the resources—human, financial, physical, and external—that support student academic and engagement needs.</w:t>
      </w:r>
      <w:r w:rsidR="005D0EE4">
        <w:t xml:space="preserve"> </w:t>
      </w:r>
      <w:r w:rsidR="005D0EE4" w:rsidRPr="001A77E3">
        <w:rPr>
          <w:sz w:val="24"/>
          <w:szCs w:val="24"/>
        </w:rPr>
        <w:t xml:space="preserve">In achieving </w:t>
      </w:r>
      <w:r w:rsidR="005D0EE4">
        <w:rPr>
          <w:sz w:val="24"/>
          <w:szCs w:val="24"/>
        </w:rPr>
        <w:t>its</w:t>
      </w:r>
      <w:r w:rsidR="005D0EE4" w:rsidRPr="001A77E3">
        <w:rPr>
          <w:sz w:val="24"/>
          <w:szCs w:val="24"/>
        </w:rPr>
        <w:t xml:space="preserve"> mission, SU gauges its success using a variety of performance measures</w:t>
      </w:r>
      <w:r w:rsidR="00152053">
        <w:rPr>
          <w:sz w:val="24"/>
          <w:szCs w:val="24"/>
        </w:rPr>
        <w:t>.</w:t>
      </w:r>
      <w:r w:rsidR="009D33C7">
        <w:rPr>
          <w:sz w:val="24"/>
          <w:szCs w:val="24"/>
        </w:rPr>
        <w:t xml:space="preserve"> These </w:t>
      </w:r>
      <w:r w:rsidR="00337C65">
        <w:rPr>
          <w:sz w:val="24"/>
          <w:szCs w:val="24"/>
        </w:rPr>
        <w:t>measures</w:t>
      </w:r>
      <w:r w:rsidR="009D33C7">
        <w:rPr>
          <w:sz w:val="24"/>
          <w:szCs w:val="24"/>
        </w:rPr>
        <w:t xml:space="preserve"> include providing academic programs and graduates in </w:t>
      </w:r>
      <w:r w:rsidR="00337C65">
        <w:rPr>
          <w:sz w:val="24"/>
          <w:szCs w:val="24"/>
        </w:rPr>
        <w:t xml:space="preserve">high-demand fields that meet state workforce needs. </w:t>
      </w:r>
      <w:r w:rsidR="009D33C7">
        <w:rPr>
          <w:sz w:val="24"/>
          <w:szCs w:val="24"/>
        </w:rPr>
        <w:t xml:space="preserve"> </w:t>
      </w:r>
    </w:p>
    <w:p w14:paraId="0256BD57" w14:textId="77777777" w:rsidR="00792B05" w:rsidRPr="006905B8" w:rsidRDefault="00162E17" w:rsidP="00792B05">
      <w:pPr>
        <w:spacing w:after="120"/>
        <w:rPr>
          <w:szCs w:val="24"/>
        </w:rPr>
      </w:pPr>
      <w:r w:rsidRPr="006905B8">
        <w:rPr>
          <w:szCs w:val="24"/>
          <w:u w:val="single"/>
        </w:rPr>
        <w:t>Nursing</w:t>
      </w:r>
    </w:p>
    <w:p w14:paraId="54AA5BE4" w14:textId="77777777" w:rsidR="00E2086A" w:rsidRDefault="00792B05" w:rsidP="006905B8">
      <w:pPr>
        <w:spacing w:after="120"/>
        <w:rPr>
          <w:szCs w:val="24"/>
        </w:rPr>
      </w:pPr>
      <w:r w:rsidRPr="006905B8">
        <w:rPr>
          <w:szCs w:val="24"/>
        </w:rPr>
        <w:t>Data for this year indicates that applications and enrollment into the program have increased. The</w:t>
      </w:r>
      <w:r w:rsidRPr="00E56DE5">
        <w:rPr>
          <w:szCs w:val="24"/>
        </w:rPr>
        <w:t xml:space="preserve"> number of </w:t>
      </w:r>
      <w:r w:rsidR="00F4667E" w:rsidRPr="00E56DE5">
        <w:rPr>
          <w:szCs w:val="24"/>
        </w:rPr>
        <w:t xml:space="preserve">undergraduate </w:t>
      </w:r>
      <w:r w:rsidRPr="00E56DE5">
        <w:rPr>
          <w:szCs w:val="24"/>
        </w:rPr>
        <w:t xml:space="preserve">nursing majors enrolled </w:t>
      </w:r>
      <w:r w:rsidR="00DA2FDB">
        <w:rPr>
          <w:szCs w:val="24"/>
        </w:rPr>
        <w:t>for</w:t>
      </w:r>
      <w:r w:rsidRPr="00E56DE5">
        <w:rPr>
          <w:szCs w:val="24"/>
        </w:rPr>
        <w:t xml:space="preserve"> fall 20</w:t>
      </w:r>
      <w:r w:rsidR="00E56DE5">
        <w:rPr>
          <w:szCs w:val="24"/>
        </w:rPr>
        <w:t>1</w:t>
      </w:r>
      <w:r w:rsidR="00DA2FDB">
        <w:rPr>
          <w:szCs w:val="24"/>
        </w:rPr>
        <w:t>1</w:t>
      </w:r>
      <w:r w:rsidRPr="00E56DE5">
        <w:rPr>
          <w:szCs w:val="24"/>
        </w:rPr>
        <w:t xml:space="preserve"> increased </w:t>
      </w:r>
      <w:r w:rsidR="00DA2FDB">
        <w:rPr>
          <w:szCs w:val="24"/>
        </w:rPr>
        <w:t>more than 8</w:t>
      </w:r>
      <w:r w:rsidRPr="00E56DE5">
        <w:rPr>
          <w:szCs w:val="24"/>
        </w:rPr>
        <w:t>% this year</w:t>
      </w:r>
      <w:r w:rsidR="004547A7" w:rsidRPr="00E56DE5">
        <w:rPr>
          <w:szCs w:val="24"/>
        </w:rPr>
        <w:t>,</w:t>
      </w:r>
      <w:r w:rsidR="00F4667E" w:rsidRPr="00E56DE5">
        <w:rPr>
          <w:szCs w:val="24"/>
        </w:rPr>
        <w:t xml:space="preserve"> while grad</w:t>
      </w:r>
      <w:r w:rsidR="00E56DE5">
        <w:rPr>
          <w:szCs w:val="24"/>
        </w:rPr>
        <w:t>uate nursing majors in</w:t>
      </w:r>
      <w:r w:rsidR="00E2086A">
        <w:rPr>
          <w:szCs w:val="24"/>
        </w:rPr>
        <w:t xml:space="preserve">creased </w:t>
      </w:r>
      <w:r w:rsidR="00DA2FDB">
        <w:rPr>
          <w:szCs w:val="24"/>
        </w:rPr>
        <w:t>more than 13</w:t>
      </w:r>
      <w:r w:rsidR="00F4667E" w:rsidRPr="00337C65">
        <w:rPr>
          <w:szCs w:val="24"/>
        </w:rPr>
        <w:t>%</w:t>
      </w:r>
      <w:r w:rsidR="00162E17" w:rsidRPr="00337C65">
        <w:rPr>
          <w:szCs w:val="24"/>
        </w:rPr>
        <w:t>.</w:t>
      </w:r>
      <w:r w:rsidR="00E2086A">
        <w:rPr>
          <w:szCs w:val="24"/>
        </w:rPr>
        <w:t xml:space="preserve"> T</w:t>
      </w:r>
      <w:r w:rsidR="004547A7" w:rsidRPr="00337C65">
        <w:rPr>
          <w:szCs w:val="24"/>
        </w:rPr>
        <w:t>he number of n</w:t>
      </w:r>
      <w:r w:rsidR="00223B92" w:rsidRPr="00337C65">
        <w:rPr>
          <w:szCs w:val="24"/>
        </w:rPr>
        <w:t xml:space="preserve">ursing </w:t>
      </w:r>
      <w:r w:rsidR="00F4667E" w:rsidRPr="00337C65">
        <w:rPr>
          <w:szCs w:val="24"/>
        </w:rPr>
        <w:t xml:space="preserve">baccalaureate and graduate </w:t>
      </w:r>
      <w:r w:rsidR="00223B92" w:rsidRPr="00337C65">
        <w:rPr>
          <w:szCs w:val="24"/>
        </w:rPr>
        <w:t>degre</w:t>
      </w:r>
      <w:r w:rsidR="00F4667E" w:rsidRPr="00337C65">
        <w:rPr>
          <w:szCs w:val="24"/>
        </w:rPr>
        <w:t xml:space="preserve">e recipients </w:t>
      </w:r>
      <w:r w:rsidR="00E2086A">
        <w:rPr>
          <w:szCs w:val="24"/>
        </w:rPr>
        <w:t>in</w:t>
      </w:r>
      <w:r w:rsidR="00E2086A" w:rsidRPr="00337C65">
        <w:rPr>
          <w:szCs w:val="24"/>
        </w:rPr>
        <w:t xml:space="preserve">creased </w:t>
      </w:r>
      <w:r w:rsidR="00E2086A">
        <w:rPr>
          <w:szCs w:val="24"/>
        </w:rPr>
        <w:t xml:space="preserve">32% this year </w:t>
      </w:r>
      <w:r w:rsidR="00223B92" w:rsidRPr="00337C65">
        <w:rPr>
          <w:szCs w:val="24"/>
        </w:rPr>
        <w:t>to a tota</w:t>
      </w:r>
      <w:r w:rsidR="00F4667E" w:rsidRPr="00337C65">
        <w:rPr>
          <w:szCs w:val="24"/>
        </w:rPr>
        <w:t xml:space="preserve">l of </w:t>
      </w:r>
      <w:r w:rsidR="00E2086A">
        <w:rPr>
          <w:szCs w:val="24"/>
        </w:rPr>
        <w:t>98</w:t>
      </w:r>
      <w:r w:rsidR="00F4667E" w:rsidRPr="00337C65">
        <w:rPr>
          <w:szCs w:val="24"/>
        </w:rPr>
        <w:t xml:space="preserve"> (Objective 2.5</w:t>
      </w:r>
      <w:r w:rsidR="00223B92" w:rsidRPr="00337C65">
        <w:rPr>
          <w:szCs w:val="24"/>
        </w:rPr>
        <w:t xml:space="preserve">). </w:t>
      </w:r>
    </w:p>
    <w:p w14:paraId="269416E5" w14:textId="77777777" w:rsidR="00162E17" w:rsidRDefault="00162E17" w:rsidP="006905B8">
      <w:pPr>
        <w:spacing w:after="120"/>
        <w:rPr>
          <w:szCs w:val="24"/>
        </w:rPr>
      </w:pPr>
      <w:r w:rsidRPr="00F155A8">
        <w:rPr>
          <w:szCs w:val="24"/>
          <w:u w:val="single"/>
        </w:rPr>
        <w:t>Teacher Education</w:t>
      </w:r>
    </w:p>
    <w:p w14:paraId="1A3F0A3D" w14:textId="77777777" w:rsidR="00F432DE" w:rsidRPr="00F432DE" w:rsidRDefault="00E526C1" w:rsidP="003734A8">
      <w:pPr>
        <w:spacing w:after="120"/>
        <w:rPr>
          <w:szCs w:val="24"/>
        </w:rPr>
      </w:pPr>
      <w:r>
        <w:rPr>
          <w:szCs w:val="24"/>
        </w:rPr>
        <w:t>T</w:t>
      </w:r>
      <w:r w:rsidR="00F432DE">
        <w:rPr>
          <w:szCs w:val="24"/>
        </w:rPr>
        <w:t>he overall number of teacher e</w:t>
      </w:r>
      <w:r w:rsidR="00162E17">
        <w:rPr>
          <w:szCs w:val="24"/>
        </w:rPr>
        <w:t xml:space="preserve">ducation </w:t>
      </w:r>
      <w:r w:rsidR="002C1DFA">
        <w:rPr>
          <w:szCs w:val="24"/>
        </w:rPr>
        <w:t xml:space="preserve">enrollments </w:t>
      </w:r>
      <w:r w:rsidR="00E56DE5">
        <w:rPr>
          <w:szCs w:val="24"/>
        </w:rPr>
        <w:t xml:space="preserve">has increased by </w:t>
      </w:r>
      <w:r w:rsidR="00F47570">
        <w:rPr>
          <w:szCs w:val="24"/>
        </w:rPr>
        <w:t>12</w:t>
      </w:r>
      <w:r w:rsidR="00823514">
        <w:rPr>
          <w:szCs w:val="24"/>
        </w:rPr>
        <w:t xml:space="preserve"> students </w:t>
      </w:r>
      <w:r w:rsidR="00E56DE5">
        <w:rPr>
          <w:szCs w:val="24"/>
        </w:rPr>
        <w:t>to a total of 1,4</w:t>
      </w:r>
      <w:r w:rsidR="00F47570">
        <w:rPr>
          <w:szCs w:val="24"/>
        </w:rPr>
        <w:t>07</w:t>
      </w:r>
      <w:r w:rsidR="004300F2">
        <w:rPr>
          <w:szCs w:val="24"/>
        </w:rPr>
        <w:t>. This represents a 2</w:t>
      </w:r>
      <w:r w:rsidR="00F47570">
        <w:rPr>
          <w:szCs w:val="24"/>
        </w:rPr>
        <w:t>1</w:t>
      </w:r>
      <w:r w:rsidR="00823514">
        <w:rPr>
          <w:szCs w:val="24"/>
        </w:rPr>
        <w:t xml:space="preserve">% increase </w:t>
      </w:r>
      <w:r w:rsidR="004300F2">
        <w:rPr>
          <w:szCs w:val="24"/>
        </w:rPr>
        <w:t>over enrollments since fall 200</w:t>
      </w:r>
      <w:r w:rsidR="00F47570">
        <w:rPr>
          <w:szCs w:val="24"/>
        </w:rPr>
        <w:t>8</w:t>
      </w:r>
      <w:r w:rsidR="00823514">
        <w:rPr>
          <w:szCs w:val="24"/>
        </w:rPr>
        <w:t xml:space="preserve">. </w:t>
      </w:r>
      <w:r w:rsidR="004300F2">
        <w:rPr>
          <w:szCs w:val="24"/>
        </w:rPr>
        <w:t>T</w:t>
      </w:r>
      <w:r w:rsidR="00823514">
        <w:rPr>
          <w:szCs w:val="24"/>
        </w:rPr>
        <w:t>he number of teacher education</w:t>
      </w:r>
      <w:r w:rsidR="002C1DFA">
        <w:rPr>
          <w:szCs w:val="24"/>
        </w:rPr>
        <w:t xml:space="preserve"> </w:t>
      </w:r>
      <w:r w:rsidR="00162E17">
        <w:rPr>
          <w:szCs w:val="24"/>
        </w:rPr>
        <w:t xml:space="preserve">graduates </w:t>
      </w:r>
      <w:r>
        <w:rPr>
          <w:szCs w:val="24"/>
        </w:rPr>
        <w:t xml:space="preserve">from SU </w:t>
      </w:r>
      <w:r w:rsidR="002C1DFA">
        <w:rPr>
          <w:szCs w:val="24"/>
        </w:rPr>
        <w:t>(Objective 2.</w:t>
      </w:r>
      <w:r w:rsidR="00EF10D6">
        <w:rPr>
          <w:szCs w:val="24"/>
        </w:rPr>
        <w:t>3</w:t>
      </w:r>
      <w:r>
        <w:rPr>
          <w:szCs w:val="24"/>
        </w:rPr>
        <w:t xml:space="preserve">) </w:t>
      </w:r>
      <w:r w:rsidR="004300F2">
        <w:rPr>
          <w:szCs w:val="24"/>
        </w:rPr>
        <w:t>increased</w:t>
      </w:r>
      <w:r w:rsidR="00F432DE">
        <w:rPr>
          <w:szCs w:val="24"/>
        </w:rPr>
        <w:t xml:space="preserve"> this year </w:t>
      </w:r>
      <w:r w:rsidR="00823514">
        <w:rPr>
          <w:szCs w:val="24"/>
        </w:rPr>
        <w:t>from</w:t>
      </w:r>
      <w:r w:rsidR="00F432DE">
        <w:rPr>
          <w:szCs w:val="24"/>
        </w:rPr>
        <w:t xml:space="preserve"> </w:t>
      </w:r>
      <w:r w:rsidR="00823514">
        <w:rPr>
          <w:szCs w:val="24"/>
        </w:rPr>
        <w:t>2</w:t>
      </w:r>
      <w:r w:rsidR="00F47570">
        <w:rPr>
          <w:szCs w:val="24"/>
        </w:rPr>
        <w:t>76</w:t>
      </w:r>
      <w:r w:rsidR="004300F2">
        <w:rPr>
          <w:szCs w:val="24"/>
        </w:rPr>
        <w:t xml:space="preserve"> to </w:t>
      </w:r>
      <w:r w:rsidR="00F47570">
        <w:rPr>
          <w:szCs w:val="24"/>
        </w:rPr>
        <w:t>291</w:t>
      </w:r>
      <w:r w:rsidR="00F432DE" w:rsidRPr="00F432DE">
        <w:rPr>
          <w:szCs w:val="24"/>
        </w:rPr>
        <w:t xml:space="preserve">. </w:t>
      </w:r>
      <w:r w:rsidR="00823514">
        <w:rPr>
          <w:szCs w:val="24"/>
        </w:rPr>
        <w:t xml:space="preserve">With the growth in our undergraduate programs in recent years, it is hoped that the number of graduates will </w:t>
      </w:r>
      <w:r w:rsidR="004300F2">
        <w:rPr>
          <w:szCs w:val="24"/>
        </w:rPr>
        <w:t xml:space="preserve">continue to </w:t>
      </w:r>
      <w:r w:rsidR="00823514">
        <w:rPr>
          <w:szCs w:val="24"/>
        </w:rPr>
        <w:t>increase</w:t>
      </w:r>
      <w:r w:rsidR="004547A7">
        <w:rPr>
          <w:szCs w:val="24"/>
        </w:rPr>
        <w:t xml:space="preserve"> in the future</w:t>
      </w:r>
      <w:r w:rsidR="00823514">
        <w:rPr>
          <w:szCs w:val="24"/>
        </w:rPr>
        <w:t xml:space="preserve">. </w:t>
      </w:r>
    </w:p>
    <w:p w14:paraId="7F787EBA" w14:textId="77777777" w:rsidR="00162E17" w:rsidRDefault="003C26AB" w:rsidP="003734A8">
      <w:pPr>
        <w:spacing w:after="120"/>
        <w:rPr>
          <w:szCs w:val="24"/>
        </w:rPr>
      </w:pPr>
      <w:r>
        <w:rPr>
          <w:szCs w:val="24"/>
        </w:rPr>
        <w:t xml:space="preserve"> </w:t>
      </w:r>
      <w:r w:rsidR="0007044F">
        <w:rPr>
          <w:szCs w:val="24"/>
          <w:u w:val="single"/>
        </w:rPr>
        <w:t>STEM</w:t>
      </w:r>
    </w:p>
    <w:p w14:paraId="4CA2AB18" w14:textId="77777777" w:rsidR="008264CE" w:rsidRPr="00F155A8" w:rsidRDefault="00EA065B" w:rsidP="004672C2">
      <w:pPr>
        <w:spacing w:after="120"/>
        <w:rPr>
          <w:szCs w:val="24"/>
        </w:rPr>
      </w:pPr>
      <w:r>
        <w:rPr>
          <w:szCs w:val="24"/>
        </w:rPr>
        <w:t>Since 2007, SU has increased the number of students e</w:t>
      </w:r>
      <w:r w:rsidR="00A6622B">
        <w:rPr>
          <w:szCs w:val="24"/>
        </w:rPr>
        <w:t>nrolled in</w:t>
      </w:r>
      <w:r w:rsidR="00853941">
        <w:rPr>
          <w:szCs w:val="24"/>
        </w:rPr>
        <w:t xml:space="preserve"> STEM programs by 2</w:t>
      </w:r>
      <w:r w:rsidR="00A6622B">
        <w:rPr>
          <w:szCs w:val="24"/>
        </w:rPr>
        <w:t>7</w:t>
      </w:r>
      <w:r w:rsidR="00A33249">
        <w:rPr>
          <w:szCs w:val="24"/>
        </w:rPr>
        <w:t>%</w:t>
      </w:r>
      <w:r w:rsidR="00A6622B">
        <w:rPr>
          <w:szCs w:val="24"/>
        </w:rPr>
        <w:t>, to a total of 1</w:t>
      </w:r>
      <w:r w:rsidR="00B17941">
        <w:rPr>
          <w:szCs w:val="24"/>
        </w:rPr>
        <w:t>,</w:t>
      </w:r>
      <w:r w:rsidR="00853941">
        <w:rPr>
          <w:szCs w:val="24"/>
        </w:rPr>
        <w:t>304</w:t>
      </w:r>
      <w:r w:rsidR="00A6622B">
        <w:rPr>
          <w:szCs w:val="24"/>
        </w:rPr>
        <w:t xml:space="preserve"> in 201</w:t>
      </w:r>
      <w:r w:rsidR="00853941">
        <w:rPr>
          <w:szCs w:val="24"/>
        </w:rPr>
        <w:t>1</w:t>
      </w:r>
      <w:r>
        <w:rPr>
          <w:szCs w:val="24"/>
        </w:rPr>
        <w:t xml:space="preserve">. </w:t>
      </w:r>
      <w:r w:rsidR="00A6622B">
        <w:rPr>
          <w:szCs w:val="24"/>
        </w:rPr>
        <w:t xml:space="preserve">The current data </w:t>
      </w:r>
      <w:r w:rsidR="008264CE">
        <w:rPr>
          <w:szCs w:val="24"/>
        </w:rPr>
        <w:t>in</w:t>
      </w:r>
      <w:r w:rsidR="009225DE">
        <w:rPr>
          <w:szCs w:val="24"/>
        </w:rPr>
        <w:t xml:space="preserve">dicates that </w:t>
      </w:r>
      <w:r w:rsidR="00853941">
        <w:rPr>
          <w:szCs w:val="24"/>
        </w:rPr>
        <w:t xml:space="preserve">in 2010-11 </w:t>
      </w:r>
      <w:r w:rsidR="009225DE">
        <w:rPr>
          <w:szCs w:val="24"/>
        </w:rPr>
        <w:t>SU h</w:t>
      </w:r>
      <w:r w:rsidR="002B22FF">
        <w:rPr>
          <w:szCs w:val="24"/>
        </w:rPr>
        <w:t>ad 2</w:t>
      </w:r>
      <w:r w:rsidR="00853941">
        <w:rPr>
          <w:szCs w:val="24"/>
        </w:rPr>
        <w:t>4</w:t>
      </w:r>
      <w:r w:rsidR="00377D77">
        <w:rPr>
          <w:szCs w:val="24"/>
        </w:rPr>
        <w:t>4</w:t>
      </w:r>
      <w:r w:rsidR="002B22FF">
        <w:rPr>
          <w:szCs w:val="24"/>
        </w:rPr>
        <w:t xml:space="preserve"> STEM graduates</w:t>
      </w:r>
      <w:r w:rsidR="00131DD1">
        <w:rPr>
          <w:szCs w:val="24"/>
        </w:rPr>
        <w:t xml:space="preserve"> (Objective 2.4)</w:t>
      </w:r>
      <w:r w:rsidR="00B17941">
        <w:rPr>
          <w:szCs w:val="24"/>
        </w:rPr>
        <w:t>,</w:t>
      </w:r>
      <w:r w:rsidR="002B22FF">
        <w:rPr>
          <w:szCs w:val="24"/>
        </w:rPr>
        <w:t xml:space="preserve"> a</w:t>
      </w:r>
      <w:r w:rsidR="00A6622B">
        <w:rPr>
          <w:szCs w:val="24"/>
        </w:rPr>
        <w:t>n increase</w:t>
      </w:r>
      <w:r w:rsidR="002B22FF">
        <w:rPr>
          <w:szCs w:val="24"/>
        </w:rPr>
        <w:t xml:space="preserve"> of </w:t>
      </w:r>
      <w:r w:rsidR="00853941">
        <w:rPr>
          <w:szCs w:val="24"/>
        </w:rPr>
        <w:t>30</w:t>
      </w:r>
      <w:r w:rsidR="008264CE">
        <w:rPr>
          <w:szCs w:val="24"/>
        </w:rPr>
        <w:t xml:space="preserve"> graduates from the previous year. </w:t>
      </w:r>
      <w:r w:rsidR="00A6622B">
        <w:rPr>
          <w:szCs w:val="24"/>
        </w:rPr>
        <w:t>T</w:t>
      </w:r>
      <w:r w:rsidR="008264CE">
        <w:rPr>
          <w:szCs w:val="24"/>
        </w:rPr>
        <w:t xml:space="preserve">he University has increased STEM </w:t>
      </w:r>
      <w:r w:rsidR="00D70C27">
        <w:rPr>
          <w:szCs w:val="24"/>
        </w:rPr>
        <w:t>graduates</w:t>
      </w:r>
      <w:r w:rsidR="008264CE">
        <w:rPr>
          <w:szCs w:val="24"/>
        </w:rPr>
        <w:t xml:space="preserve"> by</w:t>
      </w:r>
      <w:r w:rsidR="009225DE">
        <w:rPr>
          <w:szCs w:val="24"/>
        </w:rPr>
        <w:t xml:space="preserve"> </w:t>
      </w:r>
      <w:r w:rsidR="00853941">
        <w:rPr>
          <w:szCs w:val="24"/>
        </w:rPr>
        <w:t>more than 8</w:t>
      </w:r>
      <w:r w:rsidR="008264CE">
        <w:rPr>
          <w:szCs w:val="24"/>
        </w:rPr>
        <w:t xml:space="preserve">% </w:t>
      </w:r>
      <w:r w:rsidR="00853941">
        <w:rPr>
          <w:szCs w:val="24"/>
        </w:rPr>
        <w:t xml:space="preserve">since </w:t>
      </w:r>
      <w:r w:rsidR="00982E77">
        <w:rPr>
          <w:szCs w:val="24"/>
        </w:rPr>
        <w:t>the 2009 reporting cycle</w:t>
      </w:r>
      <w:r w:rsidR="0071015B">
        <w:rPr>
          <w:szCs w:val="24"/>
        </w:rPr>
        <w:t>.</w:t>
      </w:r>
    </w:p>
    <w:p w14:paraId="178A8592" w14:textId="77777777" w:rsidR="007B6679" w:rsidRPr="006B4191" w:rsidRDefault="004F5B3C" w:rsidP="006B4191">
      <w:pPr>
        <w:spacing w:before="120" w:after="120"/>
        <w:jc w:val="center"/>
        <w:rPr>
          <w:b/>
          <w:sz w:val="28"/>
          <w:szCs w:val="28"/>
        </w:rPr>
      </w:pPr>
      <w:r w:rsidRPr="006B4191">
        <w:rPr>
          <w:b/>
          <w:bCs/>
          <w:sz w:val="28"/>
          <w:szCs w:val="28"/>
        </w:rPr>
        <w:t>RESPONSES TO THE QUESTIONS/ISSUES RAISED BY THE COMMISSION</w:t>
      </w:r>
    </w:p>
    <w:p w14:paraId="38330150" w14:textId="77777777" w:rsidR="00EF40BB" w:rsidRPr="00EF40BB" w:rsidRDefault="00EF40BB" w:rsidP="00DF288A">
      <w:pPr>
        <w:spacing w:after="120"/>
      </w:pPr>
      <w:r>
        <w:t>Fo</w:t>
      </w:r>
      <w:r w:rsidR="00570966">
        <w:t>r the 201</w:t>
      </w:r>
      <w:r w:rsidR="003F20DD">
        <w:t>1</w:t>
      </w:r>
      <w:r>
        <w:t xml:space="preserve"> MFR reporting cycle, the commission had the following comments:</w:t>
      </w:r>
    </w:p>
    <w:p w14:paraId="17C63AA6" w14:textId="77777777" w:rsidR="003F20DD" w:rsidRPr="003F20DD" w:rsidRDefault="003F20DD" w:rsidP="003F20DD">
      <w:pPr>
        <w:rPr>
          <w:b/>
          <w:i/>
        </w:rPr>
      </w:pPr>
      <w:r w:rsidRPr="003F20DD">
        <w:rPr>
          <w:b/>
          <w:i/>
        </w:rPr>
        <w:t xml:space="preserve">Objective 3.1 – Increase the percentage of African-American undergraduates from 11.7% in 2009 to 12.5% in 2014.  </w:t>
      </w:r>
    </w:p>
    <w:p w14:paraId="2AC4AAF4" w14:textId="77777777" w:rsidR="003F20DD" w:rsidRPr="00B5647B" w:rsidRDefault="003F20DD" w:rsidP="003F20DD">
      <w:pPr>
        <w:rPr>
          <w:i/>
        </w:rPr>
      </w:pPr>
    </w:p>
    <w:p w14:paraId="55DF1267" w14:textId="77777777" w:rsidR="003F20DD" w:rsidRPr="003F20DD" w:rsidRDefault="003F20DD" w:rsidP="003F20DD">
      <w:pPr>
        <w:rPr>
          <w:i/>
        </w:rPr>
      </w:pPr>
      <w:r w:rsidRPr="003F20DD">
        <w:rPr>
          <w:i/>
        </w:rPr>
        <w:t xml:space="preserve">This indicator decreased slightly in 2011, but the long-term trend is flat.  Discuss the obstacles </w:t>
      </w:r>
      <w:r w:rsidRPr="003F20DD">
        <w:rPr>
          <w:i/>
        </w:rPr>
        <w:lastRenderedPageBreak/>
        <w:t xml:space="preserve">to recruiting qualified African-American undergraduates and plans for overcoming these obstacles.  </w:t>
      </w:r>
    </w:p>
    <w:p w14:paraId="69D1E95C" w14:textId="77777777" w:rsidR="003F20DD" w:rsidRDefault="003F20DD" w:rsidP="003F20DD">
      <w:pPr>
        <w:rPr>
          <w:i/>
        </w:rPr>
      </w:pPr>
    </w:p>
    <w:p w14:paraId="34F25680" w14:textId="77777777" w:rsidR="003F20DD" w:rsidRDefault="003F20DD" w:rsidP="003F20DD">
      <w:pPr>
        <w:rPr>
          <w:i/>
        </w:rPr>
      </w:pPr>
      <w:r w:rsidRPr="005A6EA4">
        <w:rPr>
          <w:b/>
        </w:rPr>
        <w:t>Salisbury University Response:</w:t>
      </w:r>
    </w:p>
    <w:p w14:paraId="4FED2B70" w14:textId="77777777" w:rsidR="00B14FA3" w:rsidRDefault="00B14FA3" w:rsidP="003F20DD">
      <w:r>
        <w:t xml:space="preserve">While the data show a flat trend in the percentage </w:t>
      </w:r>
      <w:r w:rsidR="00DA2FDB">
        <w:t xml:space="preserve">of </w:t>
      </w:r>
      <w:r>
        <w:t>African-American</w:t>
      </w:r>
      <w:r w:rsidR="00DA2FDB">
        <w:t>s</w:t>
      </w:r>
      <w:r>
        <w:t xml:space="preserve"> represented in SU’s undergraduate class, it provides an incomplete picture of minority enrollment on campus. </w:t>
      </w:r>
      <w:r w:rsidR="003F20DD" w:rsidRPr="003F20DD">
        <w:t xml:space="preserve">The </w:t>
      </w:r>
      <w:r>
        <w:t>primary</w:t>
      </w:r>
      <w:r w:rsidR="003F20DD" w:rsidRPr="003F20DD">
        <w:t xml:space="preserve"> reason why the </w:t>
      </w:r>
      <w:r>
        <w:t xml:space="preserve">African-American percentages have remained relatively </w:t>
      </w:r>
      <w:r w:rsidR="003F20DD" w:rsidRPr="003F20DD">
        <w:t xml:space="preserve">flat is because, in fall 2010, race/ethnicity </w:t>
      </w:r>
      <w:r>
        <w:t>categories</w:t>
      </w:r>
      <w:r w:rsidR="003F20DD" w:rsidRPr="003F20DD">
        <w:t xml:space="preserve"> </w:t>
      </w:r>
      <w:r>
        <w:t xml:space="preserve">and reporting requirements were modified to comply with new federal regulations. These modifications now provide an </w:t>
      </w:r>
      <w:r w:rsidR="003F20DD" w:rsidRPr="003F20DD">
        <w:t xml:space="preserve">opportunity for students to </w:t>
      </w:r>
      <w:r>
        <w:t xml:space="preserve">select their race/ethnicity from more options and to </w:t>
      </w:r>
      <w:r w:rsidR="003F20DD" w:rsidRPr="003F20DD">
        <w:t xml:space="preserve">indicate </w:t>
      </w:r>
      <w:r>
        <w:t>if they consider themselves to be</w:t>
      </w:r>
      <w:r w:rsidR="003F20DD" w:rsidRPr="003F20DD">
        <w:t xml:space="preserve"> two or more races. </w:t>
      </w:r>
    </w:p>
    <w:p w14:paraId="58A857B4" w14:textId="77777777" w:rsidR="00B14FA3" w:rsidRDefault="00B14FA3" w:rsidP="003F20DD"/>
    <w:p w14:paraId="4D39836F" w14:textId="77777777" w:rsidR="00247989" w:rsidRPr="00D87DE9" w:rsidRDefault="00B14FA3" w:rsidP="00247989">
      <w:pPr>
        <w:rPr>
          <w:szCs w:val="24"/>
        </w:rPr>
      </w:pPr>
      <w:r>
        <w:t xml:space="preserve">Based on these reporting modifications, Hispanic and multi-race students represent a larger </w:t>
      </w:r>
      <w:r w:rsidRPr="00FE2C13">
        <w:t xml:space="preserve">percentage of our undergraduate student population. In fact, </w:t>
      </w:r>
      <w:r w:rsidR="00D31647" w:rsidRPr="00FE2C13">
        <w:t>since the reporting change</w:t>
      </w:r>
      <w:r w:rsidR="00DA2FDB">
        <w:t>,</w:t>
      </w:r>
      <w:r w:rsidR="00D31647" w:rsidRPr="00FE2C13">
        <w:t xml:space="preserve"> minority and Hispanic student representation has </w:t>
      </w:r>
      <w:r w:rsidR="003F20DD" w:rsidRPr="00FE2C13">
        <w:t>increase</w:t>
      </w:r>
      <w:r w:rsidR="00D31647" w:rsidRPr="00FE2C13">
        <w:t>d 2.3</w:t>
      </w:r>
      <w:r w:rsidR="003F20DD" w:rsidRPr="00FE2C13">
        <w:t xml:space="preserve"> </w:t>
      </w:r>
      <w:r w:rsidR="00D31647" w:rsidRPr="00FE2C13">
        <w:t xml:space="preserve">and 1.4 </w:t>
      </w:r>
      <w:r w:rsidR="003F20DD" w:rsidRPr="00FE2C13">
        <w:t>percentage points</w:t>
      </w:r>
      <w:r w:rsidR="00D31647" w:rsidRPr="00FE2C13">
        <w:t>, respectively</w:t>
      </w:r>
      <w:r w:rsidR="003F20DD" w:rsidRPr="00FE2C13">
        <w:t>.</w:t>
      </w:r>
      <w:r w:rsidR="00D31647" w:rsidRPr="00FE2C13">
        <w:t xml:space="preserve"> While these increases are certainly noteworthy, the University is always seeking ways to enroll a more diverse group of students.</w:t>
      </w:r>
      <w:r w:rsidR="00247989" w:rsidRPr="00FE2C13">
        <w:t xml:space="preserve"> </w:t>
      </w:r>
      <w:r w:rsidR="00247989" w:rsidRPr="00FE2C13">
        <w:rPr>
          <w:szCs w:val="24"/>
        </w:rPr>
        <w:t>The</w:t>
      </w:r>
      <w:r w:rsidR="00DA2FDB">
        <w:rPr>
          <w:szCs w:val="24"/>
        </w:rPr>
        <w:t xml:space="preserve"> O</w:t>
      </w:r>
      <w:r w:rsidR="00247989" w:rsidRPr="00D87DE9">
        <w:rPr>
          <w:szCs w:val="24"/>
        </w:rPr>
        <w:t xml:space="preserve">ffice of Admissions </w:t>
      </w:r>
      <w:r w:rsidR="00247989">
        <w:rPr>
          <w:szCs w:val="24"/>
        </w:rPr>
        <w:t xml:space="preserve">makes a concentrated effort to </w:t>
      </w:r>
      <w:r w:rsidR="00247989" w:rsidRPr="00D87DE9">
        <w:rPr>
          <w:szCs w:val="24"/>
        </w:rPr>
        <w:t>target geo</w:t>
      </w:r>
      <w:r w:rsidR="00247989">
        <w:rPr>
          <w:szCs w:val="24"/>
        </w:rPr>
        <w:t>-</w:t>
      </w:r>
      <w:r w:rsidR="00247989" w:rsidRPr="00D87DE9">
        <w:rPr>
          <w:szCs w:val="24"/>
        </w:rPr>
        <w:t>markets with large diverse populations</w:t>
      </w:r>
      <w:r w:rsidR="00247989">
        <w:rPr>
          <w:szCs w:val="24"/>
        </w:rPr>
        <w:t xml:space="preserve"> with the purpose of recruiting and retaining academically </w:t>
      </w:r>
      <w:r w:rsidR="00247989" w:rsidRPr="00D87DE9">
        <w:rPr>
          <w:szCs w:val="24"/>
        </w:rPr>
        <w:t xml:space="preserve">qualified diverse students; specifically </w:t>
      </w:r>
      <w:r w:rsidR="00247989">
        <w:rPr>
          <w:szCs w:val="24"/>
        </w:rPr>
        <w:t>African-American</w:t>
      </w:r>
      <w:r w:rsidR="00247989" w:rsidRPr="00D87DE9">
        <w:rPr>
          <w:szCs w:val="24"/>
        </w:rPr>
        <w:t xml:space="preserve">, Asian and </w:t>
      </w:r>
      <w:r w:rsidR="00247989">
        <w:rPr>
          <w:szCs w:val="24"/>
        </w:rPr>
        <w:t>Hispanic students. As a part of their Diversity Plan, the office of Admissions has identified several goals and action steps.</w:t>
      </w:r>
    </w:p>
    <w:p w14:paraId="32741A82" w14:textId="77777777" w:rsidR="00247989" w:rsidRPr="00247989" w:rsidRDefault="00247989" w:rsidP="00247989">
      <w:pPr>
        <w:rPr>
          <w:szCs w:val="24"/>
        </w:rPr>
      </w:pPr>
      <w:r w:rsidRPr="00247989">
        <w:rPr>
          <w:szCs w:val="24"/>
        </w:rPr>
        <w:t>Goals:</w:t>
      </w:r>
    </w:p>
    <w:p w14:paraId="2B29B742" w14:textId="77777777" w:rsidR="00247989" w:rsidRPr="00247989" w:rsidRDefault="00C84830" w:rsidP="00EC11C2">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rPr>
        <w:t>Deepen relationships with counselors, teachers, and a</w:t>
      </w:r>
      <w:r w:rsidR="00247989" w:rsidRPr="00247989">
        <w:rPr>
          <w:rFonts w:ascii="Times New Roman" w:hAnsi="Times New Roman"/>
          <w:sz w:val="24"/>
          <w:szCs w:val="24"/>
        </w:rPr>
        <w:t>ccess program coordinators within schools that serve students from diverse backgrounds.</w:t>
      </w:r>
    </w:p>
    <w:p w14:paraId="7A682422" w14:textId="77777777" w:rsidR="00247989" w:rsidRPr="00247989" w:rsidRDefault="00247989" w:rsidP="00EC11C2">
      <w:pPr>
        <w:pStyle w:val="ListParagraph"/>
        <w:numPr>
          <w:ilvl w:val="0"/>
          <w:numId w:val="16"/>
        </w:numPr>
        <w:spacing w:after="0" w:line="240" w:lineRule="auto"/>
        <w:rPr>
          <w:rFonts w:ascii="Times New Roman" w:hAnsi="Times New Roman"/>
          <w:sz w:val="24"/>
          <w:szCs w:val="24"/>
        </w:rPr>
      </w:pPr>
      <w:r w:rsidRPr="00247989">
        <w:rPr>
          <w:rFonts w:ascii="Times New Roman" w:hAnsi="Times New Roman"/>
          <w:sz w:val="24"/>
          <w:szCs w:val="24"/>
        </w:rPr>
        <w:t>Increase the number of minority applicants by 5%.</w:t>
      </w:r>
    </w:p>
    <w:p w14:paraId="083F1F4C" w14:textId="77777777" w:rsidR="00247989" w:rsidRPr="00247989" w:rsidRDefault="00247989" w:rsidP="00EC11C2">
      <w:pPr>
        <w:pStyle w:val="ListParagraph"/>
        <w:numPr>
          <w:ilvl w:val="0"/>
          <w:numId w:val="16"/>
        </w:numPr>
        <w:spacing w:after="0" w:line="240" w:lineRule="auto"/>
        <w:rPr>
          <w:rFonts w:ascii="Times New Roman" w:hAnsi="Times New Roman"/>
          <w:b/>
          <w:sz w:val="24"/>
          <w:szCs w:val="24"/>
        </w:rPr>
      </w:pPr>
      <w:r w:rsidRPr="00247989">
        <w:rPr>
          <w:rFonts w:ascii="Times New Roman" w:hAnsi="Times New Roman"/>
          <w:sz w:val="24"/>
          <w:szCs w:val="24"/>
        </w:rPr>
        <w:t>Increase the percentage of diverse students in the incoming class by 5%.</w:t>
      </w:r>
    </w:p>
    <w:p w14:paraId="78A04C4C" w14:textId="77777777" w:rsidR="00247989" w:rsidRPr="00247989" w:rsidRDefault="00247989" w:rsidP="00247989">
      <w:pPr>
        <w:rPr>
          <w:szCs w:val="24"/>
        </w:rPr>
      </w:pPr>
      <w:r w:rsidRPr="00247989">
        <w:rPr>
          <w:szCs w:val="24"/>
        </w:rPr>
        <w:t>Plan of Action:</w:t>
      </w:r>
    </w:p>
    <w:p w14:paraId="389BE776" w14:textId="77777777" w:rsidR="00247989" w:rsidRPr="00247989" w:rsidRDefault="00247989" w:rsidP="00EC11C2">
      <w:pPr>
        <w:pStyle w:val="ListParagraph"/>
        <w:numPr>
          <w:ilvl w:val="0"/>
          <w:numId w:val="17"/>
        </w:numPr>
        <w:spacing w:after="0" w:line="240" w:lineRule="auto"/>
        <w:rPr>
          <w:rFonts w:ascii="Times New Roman" w:hAnsi="Times New Roman"/>
          <w:sz w:val="24"/>
          <w:szCs w:val="24"/>
        </w:rPr>
      </w:pPr>
      <w:r w:rsidRPr="00247989">
        <w:rPr>
          <w:rFonts w:ascii="Times New Roman" w:hAnsi="Times New Roman"/>
          <w:sz w:val="24"/>
          <w:szCs w:val="24"/>
        </w:rPr>
        <w:t xml:space="preserve">Counselors will identify College Access organizations in their assigned territories to establish relationships and build diversity recruitment pipelines. </w:t>
      </w:r>
    </w:p>
    <w:p w14:paraId="500B6A6A" w14:textId="77777777" w:rsidR="00C84830" w:rsidRDefault="00C84830" w:rsidP="00EC11C2">
      <w:pPr>
        <w:pStyle w:val="ListParagraph"/>
        <w:numPr>
          <w:ilvl w:val="0"/>
          <w:numId w:val="17"/>
        </w:numPr>
        <w:spacing w:after="0" w:line="240" w:lineRule="auto"/>
        <w:rPr>
          <w:rFonts w:ascii="Times New Roman" w:hAnsi="Times New Roman"/>
          <w:sz w:val="24"/>
          <w:szCs w:val="24"/>
        </w:rPr>
      </w:pPr>
      <w:r w:rsidRPr="00C84830">
        <w:rPr>
          <w:rFonts w:ascii="Times New Roman" w:hAnsi="Times New Roman"/>
          <w:sz w:val="24"/>
          <w:szCs w:val="24"/>
        </w:rPr>
        <w:t>Organize</w:t>
      </w:r>
      <w:r w:rsidR="00247989" w:rsidRPr="00C84830">
        <w:rPr>
          <w:rFonts w:ascii="Times New Roman" w:hAnsi="Times New Roman"/>
          <w:sz w:val="24"/>
          <w:szCs w:val="24"/>
        </w:rPr>
        <w:t xml:space="preserve"> bus trips to SU for diverse students and their guidance counselors. </w:t>
      </w:r>
    </w:p>
    <w:p w14:paraId="60FE4876" w14:textId="77777777" w:rsidR="00247989" w:rsidRPr="00C84830" w:rsidRDefault="00247989" w:rsidP="00EC11C2">
      <w:pPr>
        <w:pStyle w:val="ListParagraph"/>
        <w:numPr>
          <w:ilvl w:val="0"/>
          <w:numId w:val="17"/>
        </w:numPr>
        <w:spacing w:after="0" w:line="240" w:lineRule="auto"/>
        <w:rPr>
          <w:rFonts w:ascii="Times New Roman" w:hAnsi="Times New Roman"/>
          <w:sz w:val="24"/>
          <w:szCs w:val="24"/>
        </w:rPr>
      </w:pPr>
      <w:r w:rsidRPr="00C84830">
        <w:rPr>
          <w:rFonts w:ascii="Times New Roman" w:hAnsi="Times New Roman"/>
          <w:sz w:val="24"/>
          <w:szCs w:val="24"/>
        </w:rPr>
        <w:t>Conduct on-sit</w:t>
      </w:r>
      <w:r w:rsidR="00741E4D">
        <w:rPr>
          <w:rFonts w:ascii="Times New Roman" w:hAnsi="Times New Roman"/>
          <w:sz w:val="24"/>
          <w:szCs w:val="24"/>
        </w:rPr>
        <w:t>e admissions program at feeder high s</w:t>
      </w:r>
      <w:r w:rsidRPr="00C84830">
        <w:rPr>
          <w:rFonts w:ascii="Times New Roman" w:hAnsi="Times New Roman"/>
          <w:sz w:val="24"/>
          <w:szCs w:val="24"/>
        </w:rPr>
        <w:t>chools with large diverse populations. (Pilot program)</w:t>
      </w:r>
    </w:p>
    <w:p w14:paraId="162EBC8C" w14:textId="77777777" w:rsidR="00247989" w:rsidRPr="00247989" w:rsidRDefault="00247989" w:rsidP="00EC11C2">
      <w:pPr>
        <w:pStyle w:val="ListParagraph"/>
        <w:numPr>
          <w:ilvl w:val="0"/>
          <w:numId w:val="17"/>
        </w:numPr>
        <w:spacing w:after="0" w:line="240" w:lineRule="auto"/>
        <w:rPr>
          <w:rFonts w:ascii="Times New Roman" w:hAnsi="Times New Roman"/>
          <w:sz w:val="24"/>
          <w:szCs w:val="24"/>
        </w:rPr>
      </w:pPr>
      <w:r w:rsidRPr="00247989">
        <w:rPr>
          <w:rFonts w:ascii="Times New Roman" w:hAnsi="Times New Roman"/>
          <w:sz w:val="24"/>
          <w:szCs w:val="24"/>
        </w:rPr>
        <w:t xml:space="preserve">Attend diversity recruitment college fairs sponsored by college access organizations, such as: College </w:t>
      </w:r>
      <w:r w:rsidR="00C84830">
        <w:rPr>
          <w:rFonts w:ascii="Times New Roman" w:hAnsi="Times New Roman"/>
          <w:sz w:val="24"/>
          <w:szCs w:val="24"/>
        </w:rPr>
        <w:t>B</w:t>
      </w:r>
      <w:r w:rsidRPr="00247989">
        <w:rPr>
          <w:rFonts w:ascii="Times New Roman" w:hAnsi="Times New Roman"/>
          <w:sz w:val="24"/>
          <w:szCs w:val="24"/>
        </w:rPr>
        <w:t xml:space="preserve">ound, National Hispanic College Fair, College Summit, etc.  </w:t>
      </w:r>
    </w:p>
    <w:p w14:paraId="1A040CFF" w14:textId="77777777" w:rsidR="00247989" w:rsidRPr="00247989" w:rsidRDefault="00247989" w:rsidP="00EC11C2">
      <w:pPr>
        <w:pStyle w:val="ListParagraph"/>
        <w:numPr>
          <w:ilvl w:val="0"/>
          <w:numId w:val="17"/>
        </w:numPr>
        <w:spacing w:after="0" w:line="240" w:lineRule="auto"/>
        <w:rPr>
          <w:rFonts w:ascii="Times New Roman" w:hAnsi="Times New Roman"/>
          <w:sz w:val="24"/>
          <w:szCs w:val="24"/>
        </w:rPr>
      </w:pPr>
      <w:r w:rsidRPr="00247989">
        <w:rPr>
          <w:rFonts w:ascii="Times New Roman" w:hAnsi="Times New Roman"/>
          <w:sz w:val="24"/>
          <w:szCs w:val="24"/>
        </w:rPr>
        <w:t xml:space="preserve">Purchase names of minority students in Maryland and the surrounding states, who have taken the SAT, with the intent to target those students for direct mailing; providing information regarding campus visits, the application process, and academic opportunities. </w:t>
      </w:r>
    </w:p>
    <w:p w14:paraId="287346B7" w14:textId="77777777" w:rsidR="00247989" w:rsidRPr="00247989" w:rsidRDefault="00247989" w:rsidP="00EC11C2">
      <w:pPr>
        <w:pStyle w:val="ListParagraph"/>
        <w:numPr>
          <w:ilvl w:val="0"/>
          <w:numId w:val="17"/>
        </w:numPr>
        <w:spacing w:after="0" w:line="240" w:lineRule="auto"/>
        <w:rPr>
          <w:rFonts w:ascii="Times New Roman" w:hAnsi="Times New Roman"/>
          <w:sz w:val="24"/>
          <w:szCs w:val="24"/>
        </w:rPr>
      </w:pPr>
      <w:r w:rsidRPr="00247989">
        <w:rPr>
          <w:rFonts w:ascii="Times New Roman" w:hAnsi="Times New Roman"/>
          <w:sz w:val="24"/>
          <w:szCs w:val="24"/>
        </w:rPr>
        <w:t xml:space="preserve">Collaborate with Multicultural Students Services to conduct the minority visitation weekend program for prospective freshmen students. </w:t>
      </w:r>
    </w:p>
    <w:p w14:paraId="696C972C" w14:textId="77777777" w:rsidR="00247989" w:rsidRPr="00247989" w:rsidRDefault="00247989" w:rsidP="00EC11C2">
      <w:pPr>
        <w:pStyle w:val="ListParagraph"/>
        <w:numPr>
          <w:ilvl w:val="0"/>
          <w:numId w:val="17"/>
        </w:numPr>
        <w:spacing w:after="0" w:line="240" w:lineRule="auto"/>
        <w:rPr>
          <w:rFonts w:ascii="Times New Roman" w:hAnsi="Times New Roman"/>
          <w:sz w:val="24"/>
          <w:szCs w:val="24"/>
        </w:rPr>
      </w:pPr>
      <w:r w:rsidRPr="00247989">
        <w:rPr>
          <w:rFonts w:ascii="Times New Roman" w:hAnsi="Times New Roman"/>
          <w:sz w:val="24"/>
          <w:szCs w:val="24"/>
        </w:rPr>
        <w:t>Partner with the Office of the Vice Chancellor for Communications for University System of Maryland to conduct a community outreach program for</w:t>
      </w:r>
      <w:r w:rsidRPr="00247989">
        <w:rPr>
          <w:rFonts w:ascii="Times New Roman" w:hAnsi="Times New Roman"/>
          <w:color w:val="17366B"/>
          <w:sz w:val="24"/>
          <w:szCs w:val="24"/>
        </w:rPr>
        <w:t xml:space="preserve"> </w:t>
      </w:r>
      <w:r w:rsidRPr="00247989">
        <w:rPr>
          <w:rFonts w:ascii="Times New Roman" w:hAnsi="Times New Roman"/>
          <w:sz w:val="24"/>
          <w:szCs w:val="24"/>
        </w:rPr>
        <w:t xml:space="preserve">underrepresented populations on Salisbury’s campus through the </w:t>
      </w:r>
      <w:r w:rsidRPr="00247989">
        <w:rPr>
          <w:rFonts w:ascii="Times New Roman" w:hAnsi="Times New Roman"/>
          <w:i/>
          <w:sz w:val="24"/>
          <w:szCs w:val="24"/>
        </w:rPr>
        <w:t xml:space="preserve">Way to Go Maryland </w:t>
      </w:r>
      <w:r w:rsidRPr="00247989">
        <w:rPr>
          <w:rFonts w:ascii="Times New Roman" w:hAnsi="Times New Roman"/>
          <w:sz w:val="24"/>
          <w:szCs w:val="24"/>
        </w:rPr>
        <w:t>program</w:t>
      </w:r>
    </w:p>
    <w:p w14:paraId="05F051C6" w14:textId="77777777" w:rsidR="003F20DD" w:rsidRPr="008265F3" w:rsidRDefault="003F20DD" w:rsidP="003F20DD">
      <w:pPr>
        <w:rPr>
          <w:b/>
          <w:bCs/>
          <w:i/>
        </w:rPr>
      </w:pPr>
    </w:p>
    <w:p w14:paraId="6F7DC3C9" w14:textId="77777777" w:rsidR="003F20DD" w:rsidRPr="008265F3" w:rsidRDefault="003F20DD" w:rsidP="003F20DD">
      <w:pPr>
        <w:rPr>
          <w:b/>
          <w:i/>
        </w:rPr>
      </w:pPr>
      <w:r w:rsidRPr="008265F3">
        <w:rPr>
          <w:b/>
          <w:bCs/>
          <w:i/>
        </w:rPr>
        <w:t xml:space="preserve">Objective 4.5 </w:t>
      </w:r>
      <w:r w:rsidRPr="008265F3">
        <w:rPr>
          <w:b/>
          <w:i/>
        </w:rPr>
        <w:t>– The six-year graduation rates of SU first-time, full-time African-American freshmen will increase from 64% in 2009 to 66% in 2014.</w:t>
      </w:r>
    </w:p>
    <w:p w14:paraId="46CCF253" w14:textId="77777777" w:rsidR="003F20DD" w:rsidRPr="008265F3" w:rsidRDefault="003F20DD" w:rsidP="003F20DD"/>
    <w:p w14:paraId="3F79412E" w14:textId="77777777" w:rsidR="003F20DD" w:rsidRDefault="003F20DD" w:rsidP="004973EA">
      <w:pPr>
        <w:rPr>
          <w:i/>
        </w:rPr>
      </w:pPr>
      <w:r w:rsidRPr="008265F3">
        <w:rPr>
          <w:i/>
        </w:rPr>
        <w:lastRenderedPageBreak/>
        <w:t xml:space="preserve">This indicator decreased by 4.6 percentage points in 2011.  Some fluctuation can be expected given the small size of the cohort.  In its 2011 Performance Accountability Report, the University alluded to strategies undertaken to encourage greater student success for minority students.  Describe these strategies in greater detail and specify why the University believes they will help realize the target graduation rate.  </w:t>
      </w:r>
    </w:p>
    <w:p w14:paraId="29C65230" w14:textId="77777777" w:rsidR="004973EA" w:rsidRPr="004973EA" w:rsidRDefault="004973EA" w:rsidP="004973EA">
      <w:pPr>
        <w:rPr>
          <w:i/>
        </w:rPr>
      </w:pPr>
    </w:p>
    <w:p w14:paraId="384BB210" w14:textId="77777777" w:rsidR="003F20DD" w:rsidRDefault="003F20DD" w:rsidP="004F5B3C">
      <w:pPr>
        <w:widowControl/>
        <w:tabs>
          <w:tab w:val="left" w:pos="360"/>
        </w:tabs>
        <w:spacing w:after="120"/>
        <w:rPr>
          <w:b/>
          <w:i/>
        </w:rPr>
      </w:pPr>
      <w:r w:rsidRPr="005A6EA4">
        <w:rPr>
          <w:b/>
        </w:rPr>
        <w:t>Salisbury University Response:</w:t>
      </w:r>
    </w:p>
    <w:p w14:paraId="4AFAD33F" w14:textId="77777777" w:rsidR="00C00996" w:rsidRDefault="00C00996" w:rsidP="004F5B3C">
      <w:pPr>
        <w:widowControl/>
        <w:spacing w:after="120"/>
      </w:pPr>
      <w:r>
        <w:t xml:space="preserve">Though the six-year graduation rates for African-American students declined during the 2011 reporting cycle, the rates increased this year by 2.8 percentage points. </w:t>
      </w:r>
      <w:r>
        <w:rPr>
          <w:szCs w:val="24"/>
        </w:rPr>
        <w:t xml:space="preserve">In fact, the 2011 decline in African-American student graduation rates was a trend at all but two USM schools last year. SU attributes the increase in this year’s rates to the continued expansion </w:t>
      </w:r>
      <w:r w:rsidR="00570966">
        <w:t>of retention initiatives that were first piloted in fall 2009</w:t>
      </w:r>
      <w:r w:rsidR="00131DD1">
        <w:t xml:space="preserve">. </w:t>
      </w:r>
    </w:p>
    <w:p w14:paraId="13870403" w14:textId="77777777" w:rsidR="00570966" w:rsidRPr="00C00996" w:rsidRDefault="00AA5468" w:rsidP="004F5B3C">
      <w:pPr>
        <w:widowControl/>
        <w:spacing w:after="120"/>
        <w:rPr>
          <w:szCs w:val="24"/>
        </w:rPr>
      </w:pPr>
      <w:r>
        <w:t>T</w:t>
      </w:r>
      <w:r w:rsidR="00131DD1">
        <w:t>he early positive effects are evidenced by</w:t>
      </w:r>
      <w:r>
        <w:t xml:space="preserve"> two consecutive years of retention rate increases for the overall, African-American, and minority comparisons. Since the 2009 implementation of Supplemental Instruction</w:t>
      </w:r>
      <w:r w:rsidR="008265F3">
        <w:t xml:space="preserve"> (SI) and</w:t>
      </w:r>
      <w:r>
        <w:t xml:space="preserve"> mid-semester reports and the expansion of living-learning communities (LLCs), retention rates increased 2.2 percentage points. Additionally, African-American and minority retention increases have been even greater</w:t>
      </w:r>
      <w:r w:rsidR="00741E4D">
        <w:t>:</w:t>
      </w:r>
      <w:r>
        <w:t xml:space="preserve"> 2.8 and 4.8 percentage points, respectively. </w:t>
      </w:r>
      <w:r w:rsidR="00131DD1">
        <w:t xml:space="preserve"> The preliminary results for these initiatives are included here:</w:t>
      </w:r>
    </w:p>
    <w:p w14:paraId="3DB19EB0" w14:textId="77777777" w:rsidR="003724D4" w:rsidRDefault="00E7393F" w:rsidP="00EC11C2">
      <w:pPr>
        <w:pStyle w:val="ListParagraph"/>
        <w:numPr>
          <w:ilvl w:val="0"/>
          <w:numId w:val="14"/>
        </w:numPr>
        <w:tabs>
          <w:tab w:val="left" w:pos="360"/>
          <w:tab w:val="left" w:pos="810"/>
        </w:tabs>
        <w:spacing w:after="0" w:line="240" w:lineRule="auto"/>
        <w:rPr>
          <w:rFonts w:ascii="Times New Roman" w:hAnsi="Times New Roman"/>
          <w:sz w:val="24"/>
          <w:szCs w:val="24"/>
        </w:rPr>
      </w:pPr>
      <w:r w:rsidRPr="00907C11">
        <w:rPr>
          <w:rFonts w:ascii="Times New Roman" w:hAnsi="Times New Roman"/>
          <w:sz w:val="24"/>
          <w:szCs w:val="24"/>
        </w:rPr>
        <w:t xml:space="preserve">Supplemental Instruction (SI) course offerings </w:t>
      </w:r>
      <w:r w:rsidR="00721C7F">
        <w:rPr>
          <w:rFonts w:ascii="Times New Roman" w:hAnsi="Times New Roman"/>
          <w:sz w:val="24"/>
          <w:szCs w:val="24"/>
        </w:rPr>
        <w:t>continue to expand</w:t>
      </w:r>
      <w:r w:rsidRPr="00907C11">
        <w:rPr>
          <w:rFonts w:ascii="Times New Roman" w:hAnsi="Times New Roman"/>
          <w:sz w:val="24"/>
          <w:szCs w:val="24"/>
        </w:rPr>
        <w:t xml:space="preserve">. </w:t>
      </w:r>
      <w:r w:rsidR="003724D4" w:rsidRPr="00907C11">
        <w:rPr>
          <w:rFonts w:ascii="Times New Roman" w:hAnsi="Times New Roman"/>
          <w:sz w:val="24"/>
          <w:szCs w:val="24"/>
        </w:rPr>
        <w:t>The expansion is based on two year</w:t>
      </w:r>
      <w:r w:rsidR="00721C7F">
        <w:rPr>
          <w:rFonts w:ascii="Times New Roman" w:hAnsi="Times New Roman"/>
          <w:sz w:val="24"/>
          <w:szCs w:val="24"/>
        </w:rPr>
        <w:t>s</w:t>
      </w:r>
      <w:r w:rsidR="003724D4" w:rsidRPr="00907C11">
        <w:rPr>
          <w:rFonts w:ascii="Times New Roman" w:hAnsi="Times New Roman"/>
          <w:sz w:val="24"/>
          <w:szCs w:val="24"/>
        </w:rPr>
        <w:t xml:space="preserve"> of positive results. During</w:t>
      </w:r>
      <w:r w:rsidR="002800B1">
        <w:rPr>
          <w:rFonts w:ascii="Times New Roman" w:hAnsi="Times New Roman"/>
          <w:sz w:val="24"/>
          <w:szCs w:val="24"/>
        </w:rPr>
        <w:t xml:space="preserve"> academic year</w:t>
      </w:r>
      <w:r w:rsidR="00AB2FD6">
        <w:rPr>
          <w:rFonts w:ascii="Times New Roman" w:hAnsi="Times New Roman"/>
          <w:sz w:val="24"/>
          <w:szCs w:val="24"/>
        </w:rPr>
        <w:t>s</w:t>
      </w:r>
      <w:r w:rsidR="003724D4" w:rsidRPr="00907C11">
        <w:rPr>
          <w:rFonts w:ascii="Times New Roman" w:hAnsi="Times New Roman"/>
          <w:sz w:val="24"/>
          <w:szCs w:val="24"/>
        </w:rPr>
        <w:t xml:space="preserve"> </w:t>
      </w:r>
      <w:r w:rsidRPr="00907C11">
        <w:rPr>
          <w:rFonts w:ascii="Times New Roman" w:hAnsi="Times New Roman"/>
          <w:sz w:val="24"/>
          <w:szCs w:val="24"/>
        </w:rPr>
        <w:t>2009</w:t>
      </w:r>
      <w:r w:rsidR="00907C11" w:rsidRPr="00907C11">
        <w:rPr>
          <w:rFonts w:ascii="Times New Roman" w:hAnsi="Times New Roman"/>
          <w:sz w:val="24"/>
          <w:szCs w:val="24"/>
        </w:rPr>
        <w:t>-10</w:t>
      </w:r>
      <w:r w:rsidR="003724D4" w:rsidRPr="00907C11">
        <w:rPr>
          <w:rFonts w:ascii="Times New Roman" w:hAnsi="Times New Roman"/>
          <w:sz w:val="24"/>
          <w:szCs w:val="24"/>
        </w:rPr>
        <w:t xml:space="preserve"> </w:t>
      </w:r>
      <w:r w:rsidR="002800B1">
        <w:rPr>
          <w:rFonts w:ascii="Times New Roman" w:hAnsi="Times New Roman"/>
          <w:sz w:val="24"/>
          <w:szCs w:val="24"/>
        </w:rPr>
        <w:t>and 2010-11</w:t>
      </w:r>
      <w:r w:rsidRPr="00907C11">
        <w:rPr>
          <w:rFonts w:ascii="Times New Roman" w:hAnsi="Times New Roman"/>
          <w:sz w:val="24"/>
          <w:szCs w:val="24"/>
        </w:rPr>
        <w:t>, students who attended five or more SI sessions had significantly higher first-year grades than students who attended f</w:t>
      </w:r>
      <w:r w:rsidR="002800B1">
        <w:rPr>
          <w:rFonts w:ascii="Times New Roman" w:hAnsi="Times New Roman"/>
          <w:sz w:val="24"/>
          <w:szCs w:val="24"/>
        </w:rPr>
        <w:t>ewer than five SI sessions</w:t>
      </w:r>
      <w:r w:rsidRPr="00907C11">
        <w:rPr>
          <w:rFonts w:ascii="Times New Roman" w:hAnsi="Times New Roman"/>
          <w:sz w:val="24"/>
          <w:szCs w:val="24"/>
        </w:rPr>
        <w:t xml:space="preserve">. Additionally, SI students who attended five or more sessions had higher second-year retention rates than </w:t>
      </w:r>
      <w:r w:rsidR="002800B1">
        <w:rPr>
          <w:rFonts w:ascii="Times New Roman" w:hAnsi="Times New Roman"/>
          <w:sz w:val="24"/>
          <w:szCs w:val="24"/>
        </w:rPr>
        <w:t xml:space="preserve">the overall first-time student cohort. </w:t>
      </w:r>
      <w:r w:rsidR="003724D4" w:rsidRPr="00907C11">
        <w:rPr>
          <w:rFonts w:ascii="Times New Roman" w:hAnsi="Times New Roman"/>
          <w:sz w:val="24"/>
          <w:szCs w:val="24"/>
        </w:rPr>
        <w:t xml:space="preserve">Based on these positive results, </w:t>
      </w:r>
      <w:r w:rsidR="002800B1">
        <w:rPr>
          <w:rFonts w:ascii="Times New Roman" w:hAnsi="Times New Roman"/>
          <w:sz w:val="24"/>
          <w:szCs w:val="24"/>
        </w:rPr>
        <w:t>SI has expanded from 16 sections (2009-10) to an estimated 5</w:t>
      </w:r>
      <w:r w:rsidR="003724D4" w:rsidRPr="00907C11">
        <w:rPr>
          <w:rFonts w:ascii="Times New Roman" w:hAnsi="Times New Roman"/>
          <w:sz w:val="24"/>
          <w:szCs w:val="24"/>
        </w:rPr>
        <w:t>0 SI course section</w:t>
      </w:r>
      <w:r w:rsidR="00B17941">
        <w:rPr>
          <w:rFonts w:ascii="Times New Roman" w:hAnsi="Times New Roman"/>
          <w:sz w:val="24"/>
          <w:szCs w:val="24"/>
        </w:rPr>
        <w:t>s</w:t>
      </w:r>
      <w:r w:rsidR="003724D4" w:rsidRPr="00907C11">
        <w:rPr>
          <w:rFonts w:ascii="Times New Roman" w:hAnsi="Times New Roman"/>
          <w:sz w:val="24"/>
          <w:szCs w:val="24"/>
        </w:rPr>
        <w:t xml:space="preserve"> </w:t>
      </w:r>
      <w:r w:rsidR="002800B1">
        <w:rPr>
          <w:rFonts w:ascii="Times New Roman" w:hAnsi="Times New Roman"/>
          <w:sz w:val="24"/>
          <w:szCs w:val="24"/>
        </w:rPr>
        <w:t>in fall 20</w:t>
      </w:r>
      <w:r w:rsidR="003724D4" w:rsidRPr="00907C11">
        <w:rPr>
          <w:rFonts w:ascii="Times New Roman" w:hAnsi="Times New Roman"/>
          <w:sz w:val="24"/>
          <w:szCs w:val="24"/>
        </w:rPr>
        <w:t>12</w:t>
      </w:r>
      <w:r w:rsidR="002800B1">
        <w:rPr>
          <w:rFonts w:ascii="Times New Roman" w:hAnsi="Times New Roman"/>
          <w:sz w:val="24"/>
          <w:szCs w:val="24"/>
        </w:rPr>
        <w:t xml:space="preserve"> alone</w:t>
      </w:r>
      <w:r w:rsidR="003724D4" w:rsidRPr="00907C11">
        <w:rPr>
          <w:rFonts w:ascii="Times New Roman" w:hAnsi="Times New Roman"/>
          <w:sz w:val="24"/>
          <w:szCs w:val="24"/>
        </w:rPr>
        <w:t xml:space="preserve">. </w:t>
      </w:r>
    </w:p>
    <w:p w14:paraId="6221973C" w14:textId="77777777" w:rsidR="00E94B5C" w:rsidRPr="000350D9" w:rsidRDefault="007002DE" w:rsidP="00EC11C2">
      <w:pPr>
        <w:widowControl/>
        <w:numPr>
          <w:ilvl w:val="0"/>
          <w:numId w:val="14"/>
        </w:numPr>
        <w:tabs>
          <w:tab w:val="left" w:pos="360"/>
        </w:tabs>
        <w:rPr>
          <w:b/>
        </w:rPr>
      </w:pPr>
      <w:r>
        <w:t>Based on positive d</w:t>
      </w:r>
      <w:r w:rsidR="00E7393F">
        <w:t xml:space="preserve">ata from </w:t>
      </w:r>
      <w:r w:rsidR="000350D9">
        <w:t>the previous two academic years</w:t>
      </w:r>
      <w:r>
        <w:t>, the L</w:t>
      </w:r>
      <w:r w:rsidR="000350D9">
        <w:t>L</w:t>
      </w:r>
      <w:r>
        <w:t>C</w:t>
      </w:r>
      <w:r w:rsidRPr="005F3645">
        <w:t xml:space="preserve"> </w:t>
      </w:r>
      <w:r>
        <w:t xml:space="preserve">program has </w:t>
      </w:r>
      <w:r w:rsidR="000350D9">
        <w:t xml:space="preserve">also </w:t>
      </w:r>
      <w:r>
        <w:t>been expanded. S</w:t>
      </w:r>
      <w:r w:rsidR="00E7393F" w:rsidRPr="005F3645">
        <w:t xml:space="preserve">tudents enrolled in LLCs </w:t>
      </w:r>
      <w:r w:rsidR="00E7393F">
        <w:t>earned</w:t>
      </w:r>
      <w:r w:rsidR="00E7393F" w:rsidRPr="005F3645">
        <w:t xml:space="preserve"> higher first-year grades </w:t>
      </w:r>
      <w:r w:rsidR="00E7393F">
        <w:t xml:space="preserve">and were retained at a greater rate </w:t>
      </w:r>
      <w:r w:rsidR="00E7393F" w:rsidRPr="005F3645">
        <w:t>th</w:t>
      </w:r>
      <w:r w:rsidR="000350D9">
        <w:t>a</w:t>
      </w:r>
      <w:r w:rsidR="00E7393F" w:rsidRPr="005F3645">
        <w:t>n those that were not in an LLC duri</w:t>
      </w:r>
      <w:r w:rsidR="00325026">
        <w:t>n</w:t>
      </w:r>
      <w:r w:rsidR="00E7393F" w:rsidRPr="005F3645">
        <w:t>g their first year at SU</w:t>
      </w:r>
      <w:r w:rsidR="00E7393F">
        <w:t>.</w:t>
      </w:r>
      <w:r w:rsidR="00E7393F" w:rsidRPr="005F3645">
        <w:t xml:space="preserve"> </w:t>
      </w:r>
      <w:r w:rsidR="00E94B5C" w:rsidRPr="005D6C14">
        <w:t>The</w:t>
      </w:r>
      <w:r w:rsidR="000350D9">
        <w:t>se</w:t>
      </w:r>
      <w:r w:rsidR="00E94B5C" w:rsidRPr="005D6C14">
        <w:t xml:space="preserve"> positive results </w:t>
      </w:r>
      <w:r w:rsidR="000350D9">
        <w:t>led the University to expand from nine LLCs in 2009 to 15 LLCs in 2012.</w:t>
      </w:r>
      <w:r w:rsidR="00E94B5C" w:rsidRPr="005D6C14">
        <w:t xml:space="preserve"> </w:t>
      </w:r>
    </w:p>
    <w:p w14:paraId="3DB3B5B5" w14:textId="77777777" w:rsidR="00CB7E22" w:rsidRPr="00DA375B" w:rsidRDefault="00721C7F" w:rsidP="00EC11C2">
      <w:pPr>
        <w:widowControl/>
        <w:numPr>
          <w:ilvl w:val="0"/>
          <w:numId w:val="14"/>
        </w:numPr>
        <w:tabs>
          <w:tab w:val="left" w:pos="360"/>
          <w:tab w:val="left" w:pos="1080"/>
        </w:tabs>
        <w:autoSpaceDE w:val="0"/>
        <w:autoSpaceDN w:val="0"/>
        <w:adjustRightInd w:val="0"/>
      </w:pPr>
      <w:r>
        <w:t>As another remediation effort, a</w:t>
      </w:r>
      <w:r w:rsidR="009A4893" w:rsidRPr="001C50DC">
        <w:t xml:space="preserve">ll first-time, first-year students with a “D” or “F” are contacted by the Center for Student Achievement (CSA) to offer academic support, advising  and/or tutorial assistance. </w:t>
      </w:r>
      <w:r w:rsidR="00BF6A0B" w:rsidRPr="001C50DC">
        <w:t>Students that sought assistance from the CSA following their poor mid-semester performance were tracked to determine if their semester performance (i.e., grades) and retention were similar to those with failing mid-semester</w:t>
      </w:r>
      <w:r w:rsidR="00BF6A0B" w:rsidRPr="003B0554">
        <w:t xml:space="preserve"> grades that did not seek remediation from the CSA.</w:t>
      </w:r>
      <w:r w:rsidR="00BF6A0B">
        <w:t xml:space="preserve"> </w:t>
      </w:r>
      <w:r w:rsidR="008265F3">
        <w:t>For the past two years, s</w:t>
      </w:r>
      <w:r w:rsidR="00CB7E22">
        <w:t xml:space="preserve">tudents that attended the CSA for </w:t>
      </w:r>
      <w:r w:rsidR="00CB7E22" w:rsidRPr="00572577">
        <w:t>academic support</w:t>
      </w:r>
      <w:r w:rsidR="00CB7E22">
        <w:t xml:space="preserve"> had higher grades at the end of their first year </w:t>
      </w:r>
      <w:r w:rsidR="00741E4D">
        <w:t xml:space="preserve">than </w:t>
      </w:r>
      <w:r w:rsidR="00CB7E22">
        <w:t>those that had a “D” or “F” at mid-semester but did not attend the CSA.</w:t>
      </w:r>
      <w:r w:rsidR="00CB7E22" w:rsidRPr="008265F3">
        <w:rPr>
          <w:b/>
        </w:rPr>
        <w:t xml:space="preserve"> </w:t>
      </w:r>
      <w:r w:rsidR="00CB7E22">
        <w:t>Additionally, students that attended the CSA following poor mid-semester performance were retained into their second year at higher rates than students that did not seek out assistance at the CSA.</w:t>
      </w:r>
      <w:r w:rsidR="008265F3">
        <w:t xml:space="preserve"> </w:t>
      </w:r>
      <w:r w:rsidR="009A4893" w:rsidRPr="00DA375B">
        <w:t>Based on</w:t>
      </w:r>
      <w:r w:rsidR="009A4893" w:rsidRPr="00511636">
        <w:t xml:space="preserve"> these positive results, the CSA </w:t>
      </w:r>
      <w:r w:rsidR="009A4893" w:rsidRPr="00721C7F">
        <w:t>expanded the number of tutors and open</w:t>
      </w:r>
      <w:r w:rsidR="001C50DC" w:rsidRPr="00721C7F">
        <w:t>ed</w:t>
      </w:r>
      <w:r w:rsidR="009A4893" w:rsidRPr="00721C7F">
        <w:t xml:space="preserve"> remote sites </w:t>
      </w:r>
      <w:r w:rsidR="001C50DC" w:rsidRPr="00721C7F">
        <w:t xml:space="preserve">in two campus buildings </w:t>
      </w:r>
      <w:r w:rsidR="009A4893" w:rsidRPr="00721C7F">
        <w:t>in fall 2011</w:t>
      </w:r>
      <w:r w:rsidR="001C50DC" w:rsidRPr="00721C7F">
        <w:t>.</w:t>
      </w:r>
      <w:r w:rsidR="009A4893" w:rsidRPr="008265F3">
        <w:rPr>
          <w:color w:val="FF0000"/>
        </w:rPr>
        <w:t xml:space="preserve"> </w:t>
      </w:r>
    </w:p>
    <w:p w14:paraId="324EC396" w14:textId="77777777" w:rsidR="00E7393F" w:rsidRDefault="00E7393F" w:rsidP="00325026">
      <w:pPr>
        <w:pStyle w:val="ListParagraph"/>
        <w:spacing w:after="0" w:line="240" w:lineRule="auto"/>
        <w:ind w:left="0"/>
        <w:rPr>
          <w:rFonts w:ascii="Times New Roman" w:hAnsi="Times New Roman"/>
          <w:sz w:val="24"/>
          <w:szCs w:val="24"/>
        </w:rPr>
      </w:pPr>
    </w:p>
    <w:p w14:paraId="12B21B60" w14:textId="77777777" w:rsidR="00162E17" w:rsidRPr="005103B0" w:rsidRDefault="00832FE8" w:rsidP="00BC7658">
      <w:pPr>
        <w:spacing w:after="120"/>
        <w:jc w:val="center"/>
        <w:rPr>
          <w:b/>
          <w:snapToGrid/>
          <w:sz w:val="28"/>
          <w:szCs w:val="28"/>
        </w:rPr>
      </w:pPr>
      <w:r>
        <w:rPr>
          <w:b/>
          <w:snapToGrid/>
          <w:sz w:val="28"/>
          <w:szCs w:val="28"/>
        </w:rPr>
        <w:br w:type="page"/>
      </w:r>
      <w:r w:rsidR="00162E17" w:rsidRPr="00D60E6E">
        <w:rPr>
          <w:b/>
          <w:snapToGrid/>
          <w:sz w:val="28"/>
          <w:szCs w:val="28"/>
        </w:rPr>
        <w:lastRenderedPageBreak/>
        <w:t>COST CONTAINMENT</w:t>
      </w:r>
    </w:p>
    <w:p w14:paraId="55D0E919" w14:textId="77777777" w:rsidR="00125EF8" w:rsidRDefault="00125EF8" w:rsidP="00BC7658"/>
    <w:p w14:paraId="4A8B38E7" w14:textId="77777777" w:rsidR="00231C28" w:rsidRDefault="00231C28">
      <w:pPr>
        <w:pStyle w:val="Heading2"/>
        <w:rPr>
          <w:sz w:val="28"/>
          <w:szCs w:val="28"/>
        </w:rPr>
        <w:sectPr w:rsidR="00231C28" w:rsidSect="000B5B9D">
          <w:footerReference w:type="even" r:id="rId8"/>
          <w:footerReference w:type="default" r:id="rId9"/>
          <w:endnotePr>
            <w:numFmt w:val="decimal"/>
          </w:endnotePr>
          <w:pgSz w:w="12240" w:h="15840" w:code="1"/>
          <w:pgMar w:top="1440" w:right="1440" w:bottom="1440" w:left="1440" w:header="576" w:footer="576" w:gutter="0"/>
          <w:cols w:space="720"/>
          <w:noEndnote/>
          <w:docGrid w:linePitch="326"/>
        </w:sectPr>
      </w:pPr>
    </w:p>
    <w:p w14:paraId="5A12C112" w14:textId="77777777" w:rsidR="000739ED" w:rsidRPr="00D25314" w:rsidRDefault="000739ED">
      <w:pPr>
        <w:pStyle w:val="Heading2"/>
        <w:rPr>
          <w:sz w:val="28"/>
          <w:szCs w:val="28"/>
        </w:rPr>
      </w:pPr>
      <w:r w:rsidRPr="00D25314">
        <w:rPr>
          <w:sz w:val="28"/>
          <w:szCs w:val="28"/>
        </w:rPr>
        <w:lastRenderedPageBreak/>
        <w:t xml:space="preserve">KEY GOALS AND OBJECTIVES </w:t>
      </w:r>
    </w:p>
    <w:p w14:paraId="1C85B080" w14:textId="77777777" w:rsidR="00585C01" w:rsidRDefault="00585C01" w:rsidP="00585C01">
      <w:pPr>
        <w:pStyle w:val="EndnoteText"/>
      </w:pPr>
    </w:p>
    <w:p w14:paraId="4FD0D3A0" w14:textId="77777777" w:rsidR="00585C01" w:rsidRDefault="00585C01" w:rsidP="00782455">
      <w:pPr>
        <w:ind w:left="720" w:hanging="720"/>
        <w:rPr>
          <w:b/>
          <w:sz w:val="20"/>
        </w:rPr>
      </w:pPr>
      <w:r>
        <w:rPr>
          <w:b/>
          <w:sz w:val="20"/>
        </w:rPr>
        <w:t xml:space="preserve">Goal 1. </w:t>
      </w:r>
      <w:r>
        <w:rPr>
          <w:b/>
          <w:sz w:val="20"/>
        </w:rPr>
        <w:tab/>
      </w:r>
      <w:r>
        <w:rPr>
          <w:sz w:val="20"/>
        </w:rPr>
        <w:t>Provide a quality undergraduate and graduate academic and learning environment that promotes intellectual growth and success.</w:t>
      </w:r>
    </w:p>
    <w:p w14:paraId="195372A6" w14:textId="77777777" w:rsidR="00585C01" w:rsidRDefault="00585C01" w:rsidP="00782455">
      <w:pPr>
        <w:widowControl/>
        <w:tabs>
          <w:tab w:val="left" w:pos="1710"/>
        </w:tabs>
        <w:ind w:left="720" w:hanging="720"/>
        <w:jc w:val="both"/>
        <w:rPr>
          <w:b/>
          <w:sz w:val="20"/>
        </w:rPr>
      </w:pPr>
    </w:p>
    <w:p w14:paraId="316215C2" w14:textId="77777777" w:rsidR="00585C01" w:rsidRPr="001B7B8C" w:rsidRDefault="00585C01" w:rsidP="00585C01">
      <w:pPr>
        <w:widowControl/>
        <w:tabs>
          <w:tab w:val="left" w:pos="1710"/>
        </w:tabs>
        <w:ind w:left="1710" w:hanging="1350"/>
        <w:jc w:val="both"/>
        <w:rPr>
          <w:bCs/>
          <w:sz w:val="20"/>
        </w:rPr>
      </w:pPr>
      <w:r>
        <w:rPr>
          <w:b/>
          <w:sz w:val="20"/>
        </w:rPr>
        <w:t>Objective 1.1</w:t>
      </w:r>
      <w:r>
        <w:rPr>
          <w:b/>
          <w:sz w:val="20"/>
        </w:rPr>
        <w:tab/>
      </w:r>
      <w:r w:rsidR="001B7B8C">
        <w:rPr>
          <w:bCs/>
          <w:sz w:val="20"/>
        </w:rPr>
        <w:t>Maintain</w:t>
      </w:r>
      <w:r w:rsidRPr="001B7B8C">
        <w:rPr>
          <w:b/>
          <w:sz w:val="20"/>
        </w:rPr>
        <w:t xml:space="preserve"> </w:t>
      </w:r>
      <w:r w:rsidRPr="001B7B8C">
        <w:rPr>
          <w:bCs/>
          <w:sz w:val="20"/>
        </w:rPr>
        <w:t xml:space="preserve">the percentage of nursing graduates who pass on the first attempt the nursing licensure exam </w:t>
      </w:r>
      <w:r w:rsidR="001B7B8C">
        <w:rPr>
          <w:sz w:val="20"/>
        </w:rPr>
        <w:t>at the 2009 rate of</w:t>
      </w:r>
      <w:r w:rsidR="00E33E4E">
        <w:rPr>
          <w:sz w:val="20"/>
        </w:rPr>
        <w:t xml:space="preserve"> </w:t>
      </w:r>
      <w:r w:rsidR="001B7B8C">
        <w:rPr>
          <w:bCs/>
          <w:sz w:val="20"/>
        </w:rPr>
        <w:t>9</w:t>
      </w:r>
      <w:r w:rsidR="00210416" w:rsidRPr="001B7B8C">
        <w:rPr>
          <w:bCs/>
          <w:sz w:val="20"/>
        </w:rPr>
        <w:t>5</w:t>
      </w:r>
      <w:r w:rsidR="00B80BE1" w:rsidRPr="001B7B8C">
        <w:rPr>
          <w:bCs/>
          <w:sz w:val="20"/>
        </w:rPr>
        <w:t>%</w:t>
      </w:r>
      <w:r w:rsidRPr="001B7B8C">
        <w:rPr>
          <w:bCs/>
          <w:sz w:val="20"/>
        </w:rPr>
        <w:t>.</w:t>
      </w:r>
    </w:p>
    <w:p w14:paraId="1AE989F2" w14:textId="77777777" w:rsidR="00585C01" w:rsidRPr="00B80BE1" w:rsidRDefault="00585C01" w:rsidP="00585C01">
      <w:pPr>
        <w:tabs>
          <w:tab w:val="right" w:pos="5850"/>
          <w:tab w:val="right" w:pos="7290"/>
          <w:tab w:val="right" w:pos="8730"/>
          <w:tab w:val="right" w:pos="9990"/>
          <w:tab w:val="right" w:pos="11430"/>
          <w:tab w:val="right" w:pos="12780"/>
        </w:tabs>
        <w:snapToGrid w:val="0"/>
        <w:ind w:left="720" w:right="-54"/>
        <w:rPr>
          <w:b/>
          <w:bCs/>
          <w:color w:val="FF0000"/>
          <w:sz w:val="20"/>
        </w:rPr>
      </w:pPr>
    </w:p>
    <w:tbl>
      <w:tblPr>
        <w:tblW w:w="11250" w:type="dxa"/>
        <w:tblInd w:w="468" w:type="dxa"/>
        <w:tblLayout w:type="fixed"/>
        <w:tblLook w:val="0000" w:firstRow="0" w:lastRow="0" w:firstColumn="0" w:lastColumn="0" w:noHBand="0" w:noVBand="0"/>
      </w:tblPr>
      <w:tblGrid>
        <w:gridCol w:w="1170"/>
        <w:gridCol w:w="3060"/>
        <w:gridCol w:w="1170"/>
        <w:gridCol w:w="1170"/>
        <w:gridCol w:w="1170"/>
        <w:gridCol w:w="1170"/>
        <w:gridCol w:w="1170"/>
        <w:gridCol w:w="1170"/>
      </w:tblGrid>
      <w:tr w:rsidR="0035631A" w:rsidRPr="00BE41F7" w14:paraId="11FD9777" w14:textId="77777777" w:rsidTr="0035631A">
        <w:tblPrEx>
          <w:tblCellMar>
            <w:top w:w="0" w:type="dxa"/>
            <w:bottom w:w="0" w:type="dxa"/>
          </w:tblCellMar>
        </w:tblPrEx>
        <w:tc>
          <w:tcPr>
            <w:tcW w:w="4230" w:type="dxa"/>
            <w:gridSpan w:val="2"/>
            <w:vAlign w:val="bottom"/>
          </w:tcPr>
          <w:p w14:paraId="0C5DD3EC" w14:textId="77777777" w:rsidR="0035631A" w:rsidRDefault="0035631A" w:rsidP="003A2144">
            <w:pPr>
              <w:suppressAutoHyphens/>
              <w:rPr>
                <w:sz w:val="20"/>
              </w:rPr>
            </w:pPr>
            <w:r>
              <w:rPr>
                <w:b/>
                <w:bCs/>
                <w:sz w:val="20"/>
              </w:rPr>
              <w:t>Performance Measures</w:t>
            </w:r>
          </w:p>
        </w:tc>
        <w:tc>
          <w:tcPr>
            <w:tcW w:w="1170" w:type="dxa"/>
            <w:vAlign w:val="bottom"/>
          </w:tcPr>
          <w:p w14:paraId="0697B165" w14:textId="77777777" w:rsidR="0035631A" w:rsidRPr="003A2144" w:rsidRDefault="0035631A" w:rsidP="00CE4FE3">
            <w:pPr>
              <w:tabs>
                <w:tab w:val="left" w:pos="285"/>
                <w:tab w:val="center" w:pos="598"/>
              </w:tabs>
              <w:suppressAutoHyphens/>
              <w:jc w:val="center"/>
              <w:rPr>
                <w:b/>
                <w:color w:val="0000FF"/>
                <w:sz w:val="20"/>
              </w:rPr>
            </w:pPr>
            <w:r>
              <w:rPr>
                <w:b/>
                <w:sz w:val="20"/>
              </w:rPr>
              <w:t>2009</w:t>
            </w:r>
            <w:r w:rsidRPr="003A2144">
              <w:rPr>
                <w:b/>
                <w:sz w:val="20"/>
              </w:rPr>
              <w:t xml:space="preserve"> Actual</w:t>
            </w:r>
          </w:p>
        </w:tc>
        <w:tc>
          <w:tcPr>
            <w:tcW w:w="1170" w:type="dxa"/>
            <w:vAlign w:val="bottom"/>
          </w:tcPr>
          <w:p w14:paraId="047D2D10" w14:textId="77777777" w:rsidR="0035631A" w:rsidRPr="003A2144" w:rsidRDefault="0035631A" w:rsidP="003A2144">
            <w:pPr>
              <w:tabs>
                <w:tab w:val="left" w:pos="285"/>
                <w:tab w:val="center" w:pos="598"/>
              </w:tabs>
              <w:suppressAutoHyphens/>
              <w:jc w:val="center"/>
              <w:rPr>
                <w:b/>
                <w:color w:val="0000FF"/>
                <w:sz w:val="20"/>
              </w:rPr>
            </w:pPr>
            <w:r>
              <w:rPr>
                <w:b/>
                <w:sz w:val="20"/>
              </w:rPr>
              <w:t>2010</w:t>
            </w:r>
            <w:r w:rsidRPr="003A2144">
              <w:rPr>
                <w:b/>
                <w:sz w:val="20"/>
              </w:rPr>
              <w:t xml:space="preserve"> Actual</w:t>
            </w:r>
          </w:p>
        </w:tc>
        <w:tc>
          <w:tcPr>
            <w:tcW w:w="1170" w:type="dxa"/>
          </w:tcPr>
          <w:p w14:paraId="51366939" w14:textId="77777777" w:rsidR="0035631A" w:rsidRPr="00986C2B" w:rsidRDefault="0035631A" w:rsidP="00090115">
            <w:pPr>
              <w:tabs>
                <w:tab w:val="left" w:pos="285"/>
                <w:tab w:val="center" w:pos="598"/>
              </w:tabs>
              <w:suppressAutoHyphens/>
              <w:jc w:val="center"/>
              <w:rPr>
                <w:b/>
                <w:sz w:val="20"/>
              </w:rPr>
            </w:pPr>
            <w:r>
              <w:rPr>
                <w:b/>
                <w:sz w:val="20"/>
              </w:rPr>
              <w:t>2011</w:t>
            </w:r>
            <w:r w:rsidRPr="00986C2B">
              <w:rPr>
                <w:b/>
                <w:sz w:val="20"/>
              </w:rPr>
              <w:t xml:space="preserve"> </w:t>
            </w:r>
            <w:r>
              <w:rPr>
                <w:b/>
                <w:sz w:val="20"/>
              </w:rPr>
              <w:t>Actual</w:t>
            </w:r>
          </w:p>
        </w:tc>
        <w:tc>
          <w:tcPr>
            <w:tcW w:w="1170" w:type="dxa"/>
          </w:tcPr>
          <w:p w14:paraId="2F6F8234" w14:textId="77777777" w:rsidR="0035631A" w:rsidRPr="00503CE0" w:rsidRDefault="0035631A" w:rsidP="006368FF">
            <w:pPr>
              <w:tabs>
                <w:tab w:val="left" w:pos="285"/>
                <w:tab w:val="center" w:pos="598"/>
              </w:tabs>
              <w:suppressAutoHyphens/>
              <w:jc w:val="center"/>
              <w:rPr>
                <w:b/>
                <w:sz w:val="20"/>
              </w:rPr>
            </w:pPr>
            <w:r w:rsidRPr="00503CE0">
              <w:rPr>
                <w:b/>
                <w:sz w:val="20"/>
              </w:rPr>
              <w:t xml:space="preserve">2012 </w:t>
            </w:r>
            <w:r w:rsidR="006368FF">
              <w:rPr>
                <w:b/>
                <w:sz w:val="20"/>
              </w:rPr>
              <w:t>Actual</w:t>
            </w:r>
          </w:p>
        </w:tc>
        <w:tc>
          <w:tcPr>
            <w:tcW w:w="1170" w:type="dxa"/>
          </w:tcPr>
          <w:p w14:paraId="63E2DE34" w14:textId="77777777" w:rsidR="0035631A" w:rsidRDefault="0035631A" w:rsidP="00C238B5">
            <w:pPr>
              <w:tabs>
                <w:tab w:val="left" w:pos="285"/>
                <w:tab w:val="center" w:pos="598"/>
              </w:tabs>
              <w:suppressAutoHyphens/>
              <w:jc w:val="center"/>
              <w:rPr>
                <w:b/>
                <w:sz w:val="20"/>
              </w:rPr>
            </w:pPr>
            <w:r>
              <w:rPr>
                <w:b/>
                <w:sz w:val="20"/>
              </w:rPr>
              <w:t>2013 Estimated</w:t>
            </w:r>
          </w:p>
        </w:tc>
        <w:tc>
          <w:tcPr>
            <w:tcW w:w="1170" w:type="dxa"/>
          </w:tcPr>
          <w:p w14:paraId="11735E84" w14:textId="77777777" w:rsidR="0035631A" w:rsidRDefault="0035631A" w:rsidP="0035631A">
            <w:pPr>
              <w:tabs>
                <w:tab w:val="left" w:pos="285"/>
                <w:tab w:val="center" w:pos="598"/>
              </w:tabs>
              <w:suppressAutoHyphens/>
              <w:jc w:val="center"/>
              <w:rPr>
                <w:b/>
                <w:sz w:val="20"/>
              </w:rPr>
            </w:pPr>
            <w:r>
              <w:rPr>
                <w:b/>
                <w:sz w:val="20"/>
              </w:rPr>
              <w:t>2014 Estimated</w:t>
            </w:r>
          </w:p>
        </w:tc>
      </w:tr>
      <w:tr w:rsidR="0035631A" w14:paraId="60BA8270" w14:textId="77777777" w:rsidTr="0035631A">
        <w:tblPrEx>
          <w:tblCellMar>
            <w:top w:w="0" w:type="dxa"/>
            <w:bottom w:w="0" w:type="dxa"/>
          </w:tblCellMar>
        </w:tblPrEx>
        <w:tc>
          <w:tcPr>
            <w:tcW w:w="1170" w:type="dxa"/>
            <w:vAlign w:val="bottom"/>
          </w:tcPr>
          <w:p w14:paraId="48A87BD5" w14:textId="77777777" w:rsidR="0035631A" w:rsidRDefault="0035631A" w:rsidP="003A2144">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rPr>
                <w:sz w:val="20"/>
              </w:rPr>
            </w:pPr>
            <w:r>
              <w:rPr>
                <w:sz w:val="20"/>
              </w:rPr>
              <w:t>Quality</w:t>
            </w:r>
          </w:p>
        </w:tc>
        <w:tc>
          <w:tcPr>
            <w:tcW w:w="3060" w:type="dxa"/>
            <w:vAlign w:val="bottom"/>
          </w:tcPr>
          <w:p w14:paraId="02A37EC9" w14:textId="77777777" w:rsidR="0035631A" w:rsidRDefault="0035631A" w:rsidP="003A2144">
            <w:pPr>
              <w:suppressAutoHyphens/>
              <w:rPr>
                <w:sz w:val="20"/>
              </w:rPr>
            </w:pPr>
            <w:r>
              <w:rPr>
                <w:sz w:val="20"/>
              </w:rPr>
              <w:t>Nursing (NCLEX) exam pass rate</w:t>
            </w:r>
          </w:p>
        </w:tc>
        <w:tc>
          <w:tcPr>
            <w:tcW w:w="1170" w:type="dxa"/>
            <w:vAlign w:val="bottom"/>
          </w:tcPr>
          <w:p w14:paraId="5543A7C8" w14:textId="77777777" w:rsidR="0035631A" w:rsidRPr="008E7616" w:rsidRDefault="0035631A" w:rsidP="006441A6">
            <w:pPr>
              <w:tabs>
                <w:tab w:val="left" w:pos="285"/>
                <w:tab w:val="center" w:pos="598"/>
              </w:tabs>
              <w:suppressAutoHyphens/>
              <w:jc w:val="center"/>
              <w:rPr>
                <w:sz w:val="20"/>
              </w:rPr>
            </w:pPr>
            <w:r>
              <w:rPr>
                <w:sz w:val="20"/>
              </w:rPr>
              <w:t>95</w:t>
            </w:r>
            <w:r w:rsidRPr="008E7616">
              <w:rPr>
                <w:sz w:val="20"/>
              </w:rPr>
              <w:t>%</w:t>
            </w:r>
          </w:p>
        </w:tc>
        <w:tc>
          <w:tcPr>
            <w:tcW w:w="1170" w:type="dxa"/>
          </w:tcPr>
          <w:p w14:paraId="1F88776E" w14:textId="77777777" w:rsidR="0035631A" w:rsidRPr="00986C2B" w:rsidRDefault="0035631A" w:rsidP="00C238B5">
            <w:pPr>
              <w:tabs>
                <w:tab w:val="left" w:pos="285"/>
                <w:tab w:val="center" w:pos="598"/>
              </w:tabs>
              <w:suppressAutoHyphens/>
              <w:jc w:val="center"/>
              <w:rPr>
                <w:sz w:val="20"/>
              </w:rPr>
            </w:pPr>
            <w:r>
              <w:rPr>
                <w:sz w:val="20"/>
              </w:rPr>
              <w:t>96</w:t>
            </w:r>
            <w:r w:rsidRPr="00986C2B">
              <w:rPr>
                <w:sz w:val="20"/>
              </w:rPr>
              <w:t>%</w:t>
            </w:r>
          </w:p>
        </w:tc>
        <w:tc>
          <w:tcPr>
            <w:tcW w:w="1170" w:type="dxa"/>
            <w:vAlign w:val="bottom"/>
          </w:tcPr>
          <w:p w14:paraId="515A8449" w14:textId="77777777" w:rsidR="0035631A" w:rsidRPr="005703C7" w:rsidRDefault="0035631A" w:rsidP="00C238B5">
            <w:pPr>
              <w:tabs>
                <w:tab w:val="left" w:pos="285"/>
                <w:tab w:val="center" w:pos="598"/>
              </w:tabs>
              <w:suppressAutoHyphens/>
              <w:jc w:val="center"/>
              <w:rPr>
                <w:sz w:val="20"/>
              </w:rPr>
            </w:pPr>
            <w:r>
              <w:rPr>
                <w:sz w:val="20"/>
              </w:rPr>
              <w:t>92</w:t>
            </w:r>
            <w:r w:rsidRPr="005703C7">
              <w:rPr>
                <w:sz w:val="20"/>
              </w:rPr>
              <w:t>%</w:t>
            </w:r>
          </w:p>
        </w:tc>
        <w:tc>
          <w:tcPr>
            <w:tcW w:w="1170" w:type="dxa"/>
            <w:vAlign w:val="bottom"/>
          </w:tcPr>
          <w:p w14:paraId="1891CFBF" w14:textId="77777777" w:rsidR="0035631A" w:rsidRPr="00503CE0" w:rsidRDefault="006368FF" w:rsidP="003A2144">
            <w:pPr>
              <w:tabs>
                <w:tab w:val="left" w:pos="285"/>
                <w:tab w:val="center" w:pos="598"/>
              </w:tabs>
              <w:suppressAutoHyphens/>
              <w:jc w:val="center"/>
              <w:rPr>
                <w:sz w:val="20"/>
              </w:rPr>
            </w:pPr>
            <w:r>
              <w:rPr>
                <w:sz w:val="20"/>
              </w:rPr>
              <w:t>96</w:t>
            </w:r>
            <w:r w:rsidR="0035631A" w:rsidRPr="00503CE0">
              <w:rPr>
                <w:sz w:val="20"/>
              </w:rPr>
              <w:t>%</w:t>
            </w:r>
          </w:p>
        </w:tc>
        <w:tc>
          <w:tcPr>
            <w:tcW w:w="1170" w:type="dxa"/>
          </w:tcPr>
          <w:p w14:paraId="2CDB8317" w14:textId="77777777" w:rsidR="0035631A" w:rsidRDefault="0035631A" w:rsidP="003A2144">
            <w:pPr>
              <w:tabs>
                <w:tab w:val="left" w:pos="285"/>
                <w:tab w:val="center" w:pos="598"/>
              </w:tabs>
              <w:suppressAutoHyphens/>
              <w:jc w:val="center"/>
              <w:rPr>
                <w:sz w:val="20"/>
              </w:rPr>
            </w:pPr>
            <w:r>
              <w:rPr>
                <w:sz w:val="20"/>
              </w:rPr>
              <w:t>96%</w:t>
            </w:r>
          </w:p>
        </w:tc>
        <w:tc>
          <w:tcPr>
            <w:tcW w:w="1170" w:type="dxa"/>
          </w:tcPr>
          <w:p w14:paraId="7C40E5BD" w14:textId="77777777" w:rsidR="0035631A" w:rsidRPr="001F01A6" w:rsidRDefault="006368FF" w:rsidP="003A2144">
            <w:pPr>
              <w:tabs>
                <w:tab w:val="left" w:pos="285"/>
                <w:tab w:val="center" w:pos="598"/>
              </w:tabs>
              <w:suppressAutoHyphens/>
              <w:jc w:val="center"/>
              <w:rPr>
                <w:sz w:val="20"/>
              </w:rPr>
            </w:pPr>
            <w:r w:rsidRPr="001F01A6">
              <w:rPr>
                <w:sz w:val="20"/>
              </w:rPr>
              <w:t>96%</w:t>
            </w:r>
          </w:p>
        </w:tc>
      </w:tr>
    </w:tbl>
    <w:p w14:paraId="6E2AE969" w14:textId="77777777" w:rsidR="00585C01" w:rsidRDefault="00585C01" w:rsidP="003A2144">
      <w:pPr>
        <w:tabs>
          <w:tab w:val="left" w:pos="1350"/>
          <w:tab w:val="right" w:pos="5850"/>
          <w:tab w:val="right" w:pos="7290"/>
          <w:tab w:val="right" w:pos="8730"/>
        </w:tabs>
        <w:ind w:right="-54"/>
        <w:rPr>
          <w:sz w:val="20"/>
        </w:rPr>
      </w:pPr>
    </w:p>
    <w:p w14:paraId="7F496278" w14:textId="77777777" w:rsidR="00A367B9" w:rsidRDefault="00585C01" w:rsidP="00585C01">
      <w:pPr>
        <w:widowControl/>
        <w:tabs>
          <w:tab w:val="left" w:pos="1710"/>
        </w:tabs>
        <w:ind w:left="1710" w:hanging="1350"/>
        <w:jc w:val="both"/>
        <w:rPr>
          <w:sz w:val="20"/>
        </w:rPr>
      </w:pPr>
      <w:r>
        <w:rPr>
          <w:b/>
          <w:sz w:val="20"/>
        </w:rPr>
        <w:t>Objective 1.2</w:t>
      </w:r>
      <w:r>
        <w:rPr>
          <w:sz w:val="20"/>
        </w:rPr>
        <w:tab/>
        <w:t xml:space="preserve">Increase </w:t>
      </w:r>
      <w:r>
        <w:rPr>
          <w:bCs/>
          <w:sz w:val="20"/>
        </w:rPr>
        <w:t>the percentage of</w:t>
      </w:r>
      <w:r>
        <w:rPr>
          <w:sz w:val="20"/>
        </w:rPr>
        <w:t xml:space="preserve"> teacher education graduates</w:t>
      </w:r>
      <w:r>
        <w:rPr>
          <w:bCs/>
          <w:sz w:val="20"/>
        </w:rPr>
        <w:t xml:space="preserve"> who pass </w:t>
      </w:r>
      <w:r>
        <w:rPr>
          <w:sz w:val="20"/>
        </w:rPr>
        <w:t>the teacher licensure exam from</w:t>
      </w:r>
      <w:r>
        <w:rPr>
          <w:bCs/>
          <w:sz w:val="20"/>
        </w:rPr>
        <w:t xml:space="preserve"> </w:t>
      </w:r>
      <w:r w:rsidR="00FD2794" w:rsidRPr="00E77C93">
        <w:rPr>
          <w:bCs/>
          <w:sz w:val="20"/>
        </w:rPr>
        <w:t>95</w:t>
      </w:r>
      <w:r w:rsidRPr="00E77C93">
        <w:rPr>
          <w:bCs/>
          <w:sz w:val="20"/>
        </w:rPr>
        <w:t>%</w:t>
      </w:r>
      <w:r>
        <w:rPr>
          <w:bCs/>
          <w:sz w:val="20"/>
        </w:rPr>
        <w:t xml:space="preserve"> in 200</w:t>
      </w:r>
      <w:r w:rsidR="00E77C93">
        <w:rPr>
          <w:bCs/>
          <w:sz w:val="20"/>
        </w:rPr>
        <w:t>9 to 100</w:t>
      </w:r>
      <w:r w:rsidR="00FC7719">
        <w:rPr>
          <w:bCs/>
          <w:sz w:val="20"/>
        </w:rPr>
        <w:t>% in 2014</w:t>
      </w:r>
      <w:r>
        <w:rPr>
          <w:sz w:val="20"/>
        </w:rPr>
        <w:t>.</w:t>
      </w:r>
      <w:r w:rsidR="00E33E4E">
        <w:rPr>
          <w:sz w:val="20"/>
        </w:rPr>
        <w:t xml:space="preserve"> </w:t>
      </w:r>
    </w:p>
    <w:p w14:paraId="3D538337" w14:textId="77777777" w:rsidR="00B41629" w:rsidRDefault="00B41629" w:rsidP="00585C01">
      <w:pPr>
        <w:widowControl/>
        <w:tabs>
          <w:tab w:val="left" w:pos="1710"/>
        </w:tabs>
        <w:ind w:left="1710" w:hanging="1350"/>
        <w:jc w:val="both"/>
        <w:rPr>
          <w:sz w:val="20"/>
        </w:rPr>
      </w:pPr>
    </w:p>
    <w:tbl>
      <w:tblPr>
        <w:tblW w:w="11250" w:type="dxa"/>
        <w:tblInd w:w="468" w:type="dxa"/>
        <w:tblLayout w:type="fixed"/>
        <w:tblLook w:val="0000" w:firstRow="0" w:lastRow="0" w:firstColumn="0" w:lastColumn="0" w:noHBand="0" w:noVBand="0"/>
      </w:tblPr>
      <w:tblGrid>
        <w:gridCol w:w="1170"/>
        <w:gridCol w:w="3060"/>
        <w:gridCol w:w="1170"/>
        <w:gridCol w:w="1170"/>
        <w:gridCol w:w="1170"/>
        <w:gridCol w:w="1170"/>
        <w:gridCol w:w="1170"/>
        <w:gridCol w:w="1170"/>
      </w:tblGrid>
      <w:tr w:rsidR="0035631A" w:rsidRPr="00716A98" w14:paraId="7EFD28C8" w14:textId="77777777" w:rsidTr="0035631A">
        <w:tblPrEx>
          <w:tblCellMar>
            <w:top w:w="0" w:type="dxa"/>
            <w:bottom w:w="0" w:type="dxa"/>
          </w:tblCellMar>
        </w:tblPrEx>
        <w:tc>
          <w:tcPr>
            <w:tcW w:w="4230" w:type="dxa"/>
            <w:gridSpan w:val="2"/>
            <w:vAlign w:val="bottom"/>
          </w:tcPr>
          <w:p w14:paraId="47DDA4EE" w14:textId="77777777" w:rsidR="0035631A" w:rsidRDefault="0035631A" w:rsidP="00B41629">
            <w:pPr>
              <w:suppressAutoHyphens/>
              <w:rPr>
                <w:sz w:val="20"/>
              </w:rPr>
            </w:pPr>
            <w:r>
              <w:rPr>
                <w:b/>
                <w:bCs/>
                <w:sz w:val="20"/>
              </w:rPr>
              <w:t>Performance Measures</w:t>
            </w:r>
          </w:p>
        </w:tc>
        <w:tc>
          <w:tcPr>
            <w:tcW w:w="1170" w:type="dxa"/>
            <w:vAlign w:val="bottom"/>
          </w:tcPr>
          <w:p w14:paraId="1D0D1109" w14:textId="77777777" w:rsidR="0035631A" w:rsidRPr="003A2144" w:rsidRDefault="0035631A" w:rsidP="00CE4FE3">
            <w:pPr>
              <w:tabs>
                <w:tab w:val="left" w:pos="285"/>
                <w:tab w:val="center" w:pos="598"/>
              </w:tabs>
              <w:suppressAutoHyphens/>
              <w:jc w:val="center"/>
              <w:rPr>
                <w:b/>
                <w:color w:val="0000FF"/>
                <w:sz w:val="20"/>
              </w:rPr>
            </w:pPr>
            <w:r>
              <w:rPr>
                <w:b/>
                <w:sz w:val="20"/>
              </w:rPr>
              <w:t>2009</w:t>
            </w:r>
            <w:r w:rsidRPr="003A2144">
              <w:rPr>
                <w:b/>
                <w:sz w:val="20"/>
              </w:rPr>
              <w:t xml:space="preserve"> Actual</w:t>
            </w:r>
          </w:p>
        </w:tc>
        <w:tc>
          <w:tcPr>
            <w:tcW w:w="1170" w:type="dxa"/>
            <w:vAlign w:val="bottom"/>
          </w:tcPr>
          <w:p w14:paraId="19534031" w14:textId="77777777" w:rsidR="0035631A" w:rsidRPr="003A2144" w:rsidRDefault="0035631A" w:rsidP="00B41629">
            <w:pPr>
              <w:tabs>
                <w:tab w:val="left" w:pos="285"/>
                <w:tab w:val="center" w:pos="598"/>
              </w:tabs>
              <w:suppressAutoHyphens/>
              <w:jc w:val="center"/>
              <w:rPr>
                <w:b/>
                <w:color w:val="0000FF"/>
                <w:sz w:val="20"/>
              </w:rPr>
            </w:pPr>
            <w:r>
              <w:rPr>
                <w:b/>
                <w:sz w:val="20"/>
              </w:rPr>
              <w:t>2010</w:t>
            </w:r>
            <w:r w:rsidRPr="003A2144">
              <w:rPr>
                <w:b/>
                <w:sz w:val="20"/>
              </w:rPr>
              <w:t xml:space="preserve"> Actual</w:t>
            </w:r>
          </w:p>
        </w:tc>
        <w:tc>
          <w:tcPr>
            <w:tcW w:w="1170" w:type="dxa"/>
          </w:tcPr>
          <w:p w14:paraId="29D25AF0" w14:textId="77777777" w:rsidR="0035631A" w:rsidRPr="00986C2B" w:rsidRDefault="0035631A" w:rsidP="006D0A08">
            <w:pPr>
              <w:tabs>
                <w:tab w:val="left" w:pos="285"/>
                <w:tab w:val="center" w:pos="598"/>
              </w:tabs>
              <w:suppressAutoHyphens/>
              <w:jc w:val="center"/>
              <w:rPr>
                <w:b/>
                <w:sz w:val="20"/>
              </w:rPr>
            </w:pPr>
            <w:r>
              <w:rPr>
                <w:b/>
                <w:sz w:val="20"/>
              </w:rPr>
              <w:t>2011</w:t>
            </w:r>
            <w:r w:rsidRPr="00986C2B">
              <w:rPr>
                <w:b/>
                <w:sz w:val="20"/>
              </w:rPr>
              <w:t xml:space="preserve"> </w:t>
            </w:r>
            <w:r>
              <w:rPr>
                <w:b/>
                <w:sz w:val="20"/>
              </w:rPr>
              <w:t>Actual</w:t>
            </w:r>
          </w:p>
        </w:tc>
        <w:tc>
          <w:tcPr>
            <w:tcW w:w="1170" w:type="dxa"/>
          </w:tcPr>
          <w:p w14:paraId="05F77971" w14:textId="77777777" w:rsidR="0035631A" w:rsidRPr="00986C2B" w:rsidRDefault="0035631A" w:rsidP="00F62B45">
            <w:pPr>
              <w:tabs>
                <w:tab w:val="left" w:pos="285"/>
                <w:tab w:val="center" w:pos="598"/>
              </w:tabs>
              <w:suppressAutoHyphens/>
              <w:jc w:val="center"/>
              <w:rPr>
                <w:b/>
                <w:sz w:val="20"/>
              </w:rPr>
            </w:pPr>
            <w:r>
              <w:rPr>
                <w:b/>
                <w:sz w:val="20"/>
              </w:rPr>
              <w:t>2012</w:t>
            </w:r>
            <w:r w:rsidRPr="00986C2B">
              <w:rPr>
                <w:b/>
                <w:sz w:val="20"/>
              </w:rPr>
              <w:t xml:space="preserve"> </w:t>
            </w:r>
            <w:r w:rsidR="00F62B45">
              <w:rPr>
                <w:b/>
                <w:sz w:val="20"/>
              </w:rPr>
              <w:t>Actual</w:t>
            </w:r>
          </w:p>
        </w:tc>
        <w:tc>
          <w:tcPr>
            <w:tcW w:w="1170" w:type="dxa"/>
          </w:tcPr>
          <w:p w14:paraId="01FA85C6" w14:textId="77777777" w:rsidR="0035631A" w:rsidRDefault="0035631A" w:rsidP="00090115">
            <w:pPr>
              <w:tabs>
                <w:tab w:val="left" w:pos="285"/>
                <w:tab w:val="center" w:pos="598"/>
              </w:tabs>
              <w:suppressAutoHyphens/>
              <w:jc w:val="center"/>
              <w:rPr>
                <w:b/>
                <w:sz w:val="20"/>
              </w:rPr>
            </w:pPr>
            <w:r>
              <w:rPr>
                <w:b/>
                <w:sz w:val="20"/>
              </w:rPr>
              <w:t>2013 Estimated</w:t>
            </w:r>
          </w:p>
        </w:tc>
        <w:tc>
          <w:tcPr>
            <w:tcW w:w="1170" w:type="dxa"/>
          </w:tcPr>
          <w:p w14:paraId="02EAA65E" w14:textId="77777777" w:rsidR="0035631A" w:rsidRDefault="0035631A" w:rsidP="00090115">
            <w:pPr>
              <w:tabs>
                <w:tab w:val="left" w:pos="285"/>
                <w:tab w:val="center" w:pos="598"/>
              </w:tabs>
              <w:suppressAutoHyphens/>
              <w:jc w:val="center"/>
              <w:rPr>
                <w:b/>
                <w:sz w:val="20"/>
              </w:rPr>
            </w:pPr>
            <w:r>
              <w:rPr>
                <w:b/>
                <w:sz w:val="20"/>
              </w:rPr>
              <w:t>2014 Estimated</w:t>
            </w:r>
          </w:p>
        </w:tc>
      </w:tr>
      <w:tr w:rsidR="0035631A" w14:paraId="2B25F5BE" w14:textId="77777777" w:rsidTr="0035631A">
        <w:tblPrEx>
          <w:tblCellMar>
            <w:top w:w="0" w:type="dxa"/>
            <w:bottom w:w="0" w:type="dxa"/>
          </w:tblCellMar>
        </w:tblPrEx>
        <w:tc>
          <w:tcPr>
            <w:tcW w:w="1170" w:type="dxa"/>
          </w:tcPr>
          <w:p w14:paraId="5112802E" w14:textId="77777777" w:rsidR="0035631A" w:rsidRDefault="0035631A" w:rsidP="00B83341">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rPr>
                <w:sz w:val="20"/>
              </w:rPr>
            </w:pPr>
            <w:r>
              <w:rPr>
                <w:sz w:val="20"/>
              </w:rPr>
              <w:t>Quality</w:t>
            </w:r>
          </w:p>
        </w:tc>
        <w:tc>
          <w:tcPr>
            <w:tcW w:w="3060" w:type="dxa"/>
            <w:vAlign w:val="bottom"/>
          </w:tcPr>
          <w:p w14:paraId="4DCC3CE7" w14:textId="77777777" w:rsidR="0035631A" w:rsidRDefault="0035631A" w:rsidP="00B83341">
            <w:pPr>
              <w:suppressAutoHyphens/>
              <w:rPr>
                <w:sz w:val="20"/>
                <w:vertAlign w:val="superscript"/>
              </w:rPr>
            </w:pPr>
            <w:r>
              <w:rPr>
                <w:sz w:val="20"/>
              </w:rPr>
              <w:t>Teaching (PRAXIS II) pass rate</w:t>
            </w:r>
            <w:r>
              <w:rPr>
                <w:sz w:val="20"/>
                <w:vertAlign w:val="superscript"/>
              </w:rPr>
              <w:t>1</w:t>
            </w:r>
          </w:p>
        </w:tc>
        <w:tc>
          <w:tcPr>
            <w:tcW w:w="1170" w:type="dxa"/>
          </w:tcPr>
          <w:p w14:paraId="2F493BBE" w14:textId="77777777" w:rsidR="0035631A" w:rsidRPr="008E7616" w:rsidRDefault="0035631A" w:rsidP="00B83341">
            <w:pPr>
              <w:suppressAutoHyphens/>
              <w:jc w:val="center"/>
              <w:rPr>
                <w:sz w:val="20"/>
              </w:rPr>
            </w:pPr>
            <w:r>
              <w:rPr>
                <w:sz w:val="20"/>
              </w:rPr>
              <w:t>97</w:t>
            </w:r>
            <w:r w:rsidRPr="008E7616">
              <w:rPr>
                <w:sz w:val="20"/>
              </w:rPr>
              <w:t>%</w:t>
            </w:r>
          </w:p>
        </w:tc>
        <w:tc>
          <w:tcPr>
            <w:tcW w:w="1170" w:type="dxa"/>
            <w:vAlign w:val="bottom"/>
          </w:tcPr>
          <w:p w14:paraId="2785A8FD" w14:textId="77777777" w:rsidR="0035631A" w:rsidRPr="00E77C93" w:rsidRDefault="00933C7F" w:rsidP="00B83341">
            <w:pPr>
              <w:suppressAutoHyphens/>
              <w:jc w:val="center"/>
              <w:rPr>
                <w:sz w:val="20"/>
              </w:rPr>
            </w:pPr>
            <w:r>
              <w:rPr>
                <w:sz w:val="20"/>
              </w:rPr>
              <w:t>97</w:t>
            </w:r>
            <w:r w:rsidR="0035631A" w:rsidRPr="00E77C93">
              <w:rPr>
                <w:sz w:val="20"/>
              </w:rPr>
              <w:t>%</w:t>
            </w:r>
          </w:p>
        </w:tc>
        <w:tc>
          <w:tcPr>
            <w:tcW w:w="1170" w:type="dxa"/>
            <w:vAlign w:val="bottom"/>
          </w:tcPr>
          <w:p w14:paraId="4DB0B7E5" w14:textId="77777777" w:rsidR="0035631A" w:rsidRPr="006D0A08" w:rsidRDefault="00933C7F" w:rsidP="00B83341">
            <w:pPr>
              <w:tabs>
                <w:tab w:val="left" w:pos="285"/>
                <w:tab w:val="center" w:pos="598"/>
              </w:tabs>
              <w:suppressAutoHyphens/>
              <w:jc w:val="center"/>
              <w:rPr>
                <w:sz w:val="20"/>
              </w:rPr>
            </w:pPr>
            <w:r>
              <w:rPr>
                <w:sz w:val="20"/>
              </w:rPr>
              <w:t>97</w:t>
            </w:r>
            <w:r w:rsidR="0035631A" w:rsidRPr="006D0A08">
              <w:rPr>
                <w:sz w:val="20"/>
              </w:rPr>
              <w:t>%</w:t>
            </w:r>
          </w:p>
        </w:tc>
        <w:tc>
          <w:tcPr>
            <w:tcW w:w="1170" w:type="dxa"/>
          </w:tcPr>
          <w:p w14:paraId="0F8B98B2" w14:textId="77777777" w:rsidR="0035631A" w:rsidRPr="00933C7F" w:rsidRDefault="00933C7F" w:rsidP="00B83341">
            <w:pPr>
              <w:suppressAutoHyphens/>
              <w:jc w:val="center"/>
              <w:rPr>
                <w:sz w:val="20"/>
              </w:rPr>
            </w:pPr>
            <w:r w:rsidRPr="00933C7F">
              <w:rPr>
                <w:sz w:val="20"/>
              </w:rPr>
              <w:t>98</w:t>
            </w:r>
            <w:r w:rsidR="0035631A" w:rsidRPr="00933C7F">
              <w:rPr>
                <w:sz w:val="20"/>
              </w:rPr>
              <w:t>%</w:t>
            </w:r>
          </w:p>
        </w:tc>
        <w:tc>
          <w:tcPr>
            <w:tcW w:w="1170" w:type="dxa"/>
          </w:tcPr>
          <w:p w14:paraId="796DA998" w14:textId="77777777" w:rsidR="0035631A" w:rsidRPr="00027957" w:rsidRDefault="0035631A" w:rsidP="00B83341">
            <w:pPr>
              <w:suppressAutoHyphens/>
              <w:jc w:val="center"/>
              <w:rPr>
                <w:sz w:val="20"/>
              </w:rPr>
            </w:pPr>
            <w:r>
              <w:rPr>
                <w:sz w:val="20"/>
              </w:rPr>
              <w:t>100%</w:t>
            </w:r>
          </w:p>
        </w:tc>
        <w:tc>
          <w:tcPr>
            <w:tcW w:w="1170" w:type="dxa"/>
          </w:tcPr>
          <w:p w14:paraId="7F10309D" w14:textId="77777777" w:rsidR="0035631A" w:rsidRDefault="00F62B45" w:rsidP="00B83341">
            <w:pPr>
              <w:suppressAutoHyphens/>
              <w:jc w:val="center"/>
              <w:rPr>
                <w:sz w:val="20"/>
              </w:rPr>
            </w:pPr>
            <w:r>
              <w:rPr>
                <w:sz w:val="20"/>
              </w:rPr>
              <w:t>100%</w:t>
            </w:r>
          </w:p>
        </w:tc>
      </w:tr>
    </w:tbl>
    <w:p w14:paraId="6A51337E" w14:textId="77777777" w:rsidR="0010644A" w:rsidRDefault="0010644A" w:rsidP="00A367B9">
      <w:pPr>
        <w:widowControl/>
        <w:tabs>
          <w:tab w:val="left" w:pos="1710"/>
        </w:tabs>
        <w:ind w:left="1710" w:hanging="1350"/>
        <w:jc w:val="both"/>
        <w:rPr>
          <w:b/>
          <w:sz w:val="20"/>
        </w:rPr>
      </w:pPr>
    </w:p>
    <w:p w14:paraId="48314ED3" w14:textId="77777777" w:rsidR="0010644A" w:rsidRDefault="0010644A" w:rsidP="00A367B9">
      <w:pPr>
        <w:widowControl/>
        <w:tabs>
          <w:tab w:val="left" w:pos="1710"/>
        </w:tabs>
        <w:ind w:left="1710" w:hanging="1350"/>
        <w:jc w:val="both"/>
        <w:rPr>
          <w:b/>
          <w:sz w:val="20"/>
        </w:rPr>
      </w:pPr>
    </w:p>
    <w:p w14:paraId="26A9DDA1" w14:textId="77777777" w:rsidR="00A367B9" w:rsidRDefault="00585C01" w:rsidP="00A367B9">
      <w:pPr>
        <w:widowControl/>
        <w:tabs>
          <w:tab w:val="left" w:pos="1710"/>
        </w:tabs>
        <w:ind w:left="1710" w:hanging="1350"/>
        <w:jc w:val="both"/>
        <w:rPr>
          <w:sz w:val="20"/>
        </w:rPr>
      </w:pPr>
      <w:r>
        <w:rPr>
          <w:b/>
          <w:sz w:val="20"/>
        </w:rPr>
        <w:t>Objective 1.3</w:t>
      </w:r>
      <w:r w:rsidR="00FC7719">
        <w:rPr>
          <w:sz w:val="20"/>
        </w:rPr>
        <w:tab/>
        <w:t>Through 2014</w:t>
      </w:r>
      <w:r>
        <w:rPr>
          <w:sz w:val="20"/>
        </w:rPr>
        <w:t>, the percentage of SU graduates who are satisfied with their level of preparation for graduate or professional school will be no less than 98%.</w:t>
      </w:r>
    </w:p>
    <w:p w14:paraId="5DA82F52" w14:textId="77777777" w:rsidR="00A367B9" w:rsidRPr="00A367B9" w:rsidRDefault="00A367B9" w:rsidP="00A367B9">
      <w:pPr>
        <w:widowControl/>
        <w:tabs>
          <w:tab w:val="left" w:pos="1710"/>
        </w:tabs>
        <w:ind w:left="1710" w:hanging="1350"/>
        <w:jc w:val="both"/>
        <w:rPr>
          <w:sz w:val="20"/>
        </w:rPr>
      </w:pPr>
    </w:p>
    <w:tbl>
      <w:tblPr>
        <w:tblW w:w="11250" w:type="dxa"/>
        <w:tblInd w:w="468" w:type="dxa"/>
        <w:tblLayout w:type="fixed"/>
        <w:tblLook w:val="0000" w:firstRow="0" w:lastRow="0" w:firstColumn="0" w:lastColumn="0" w:noHBand="0" w:noVBand="0"/>
      </w:tblPr>
      <w:tblGrid>
        <w:gridCol w:w="1170"/>
        <w:gridCol w:w="3060"/>
        <w:gridCol w:w="1170"/>
        <w:gridCol w:w="1170"/>
        <w:gridCol w:w="1170"/>
        <w:gridCol w:w="1170"/>
        <w:gridCol w:w="1170"/>
        <w:gridCol w:w="1170"/>
      </w:tblGrid>
      <w:tr w:rsidR="00763943" w:rsidRPr="00C204B2" w14:paraId="4FB41C83" w14:textId="77777777" w:rsidTr="00763943">
        <w:tblPrEx>
          <w:tblCellMar>
            <w:top w:w="0" w:type="dxa"/>
            <w:bottom w:w="0" w:type="dxa"/>
          </w:tblCellMar>
        </w:tblPrEx>
        <w:trPr>
          <w:trHeight w:val="117"/>
        </w:trPr>
        <w:tc>
          <w:tcPr>
            <w:tcW w:w="4230" w:type="dxa"/>
            <w:gridSpan w:val="2"/>
            <w:vAlign w:val="bottom"/>
          </w:tcPr>
          <w:p w14:paraId="182C41B8" w14:textId="77777777" w:rsidR="00763943" w:rsidRDefault="00763943" w:rsidP="00A367B9">
            <w:pPr>
              <w:suppressAutoHyphens/>
              <w:rPr>
                <w:sz w:val="20"/>
              </w:rPr>
            </w:pPr>
            <w:r>
              <w:rPr>
                <w:b/>
                <w:bCs/>
                <w:sz w:val="20"/>
              </w:rPr>
              <w:t>Performance Measures</w:t>
            </w:r>
          </w:p>
        </w:tc>
        <w:tc>
          <w:tcPr>
            <w:tcW w:w="1170" w:type="dxa"/>
            <w:vAlign w:val="bottom"/>
          </w:tcPr>
          <w:p w14:paraId="74E1FD04" w14:textId="77777777" w:rsidR="00763943" w:rsidRPr="003A2144" w:rsidRDefault="00763943" w:rsidP="006441A6">
            <w:pPr>
              <w:suppressAutoHyphens/>
              <w:jc w:val="center"/>
              <w:rPr>
                <w:b/>
                <w:sz w:val="20"/>
              </w:rPr>
            </w:pPr>
            <w:r>
              <w:rPr>
                <w:b/>
                <w:sz w:val="20"/>
              </w:rPr>
              <w:t>200</w:t>
            </w:r>
            <w:r w:rsidR="001710BB">
              <w:rPr>
                <w:b/>
                <w:sz w:val="20"/>
              </w:rPr>
              <w:t>0</w:t>
            </w:r>
            <w:r>
              <w:rPr>
                <w:b/>
                <w:sz w:val="20"/>
              </w:rPr>
              <w:t xml:space="preserve"> Survey</w:t>
            </w:r>
            <w:r w:rsidRPr="003A2144">
              <w:rPr>
                <w:b/>
                <w:sz w:val="20"/>
              </w:rPr>
              <w:t xml:space="preserve"> Actual</w:t>
            </w:r>
          </w:p>
        </w:tc>
        <w:tc>
          <w:tcPr>
            <w:tcW w:w="1170" w:type="dxa"/>
            <w:vAlign w:val="bottom"/>
          </w:tcPr>
          <w:p w14:paraId="1CB4861B" w14:textId="77777777" w:rsidR="00763943" w:rsidRPr="003A2144" w:rsidRDefault="00763943" w:rsidP="00CE4FE3">
            <w:pPr>
              <w:suppressAutoHyphens/>
              <w:jc w:val="center"/>
              <w:rPr>
                <w:b/>
                <w:sz w:val="20"/>
              </w:rPr>
            </w:pPr>
            <w:r>
              <w:rPr>
                <w:b/>
                <w:sz w:val="20"/>
              </w:rPr>
              <w:t>200</w:t>
            </w:r>
            <w:r w:rsidR="001710BB">
              <w:rPr>
                <w:b/>
                <w:sz w:val="20"/>
              </w:rPr>
              <w:t>2</w:t>
            </w:r>
            <w:r>
              <w:rPr>
                <w:b/>
                <w:sz w:val="20"/>
              </w:rPr>
              <w:t xml:space="preserve"> Survey</w:t>
            </w:r>
            <w:r w:rsidRPr="003A2144">
              <w:rPr>
                <w:b/>
                <w:sz w:val="20"/>
              </w:rPr>
              <w:t xml:space="preserve"> Actual</w:t>
            </w:r>
          </w:p>
        </w:tc>
        <w:tc>
          <w:tcPr>
            <w:tcW w:w="1170" w:type="dxa"/>
            <w:vAlign w:val="bottom"/>
          </w:tcPr>
          <w:p w14:paraId="548972D4" w14:textId="77777777" w:rsidR="00763943" w:rsidRPr="003A2144" w:rsidRDefault="00763943" w:rsidP="006441A6">
            <w:pPr>
              <w:tabs>
                <w:tab w:val="left" w:pos="285"/>
                <w:tab w:val="center" w:pos="598"/>
              </w:tabs>
              <w:suppressAutoHyphens/>
              <w:jc w:val="center"/>
              <w:rPr>
                <w:b/>
                <w:color w:val="0000FF"/>
                <w:sz w:val="20"/>
              </w:rPr>
            </w:pPr>
            <w:r>
              <w:rPr>
                <w:b/>
                <w:sz w:val="20"/>
              </w:rPr>
              <w:t>200</w:t>
            </w:r>
            <w:r w:rsidR="001710BB">
              <w:rPr>
                <w:b/>
                <w:sz w:val="20"/>
              </w:rPr>
              <w:t>5</w:t>
            </w:r>
            <w:r>
              <w:rPr>
                <w:b/>
                <w:sz w:val="20"/>
              </w:rPr>
              <w:t xml:space="preserve"> Survey</w:t>
            </w:r>
            <w:r w:rsidRPr="003A2144">
              <w:rPr>
                <w:b/>
                <w:sz w:val="20"/>
              </w:rPr>
              <w:t xml:space="preserve"> Actual</w:t>
            </w:r>
          </w:p>
        </w:tc>
        <w:tc>
          <w:tcPr>
            <w:tcW w:w="1170" w:type="dxa"/>
            <w:vAlign w:val="bottom"/>
          </w:tcPr>
          <w:p w14:paraId="3807119F" w14:textId="77777777" w:rsidR="00763943" w:rsidRPr="003A2144" w:rsidRDefault="00763943" w:rsidP="00CE4FE3">
            <w:pPr>
              <w:tabs>
                <w:tab w:val="left" w:pos="285"/>
                <w:tab w:val="center" w:pos="598"/>
              </w:tabs>
              <w:suppressAutoHyphens/>
              <w:jc w:val="center"/>
              <w:rPr>
                <w:b/>
                <w:color w:val="0000FF"/>
                <w:sz w:val="20"/>
              </w:rPr>
            </w:pPr>
            <w:r>
              <w:rPr>
                <w:b/>
                <w:sz w:val="20"/>
              </w:rPr>
              <w:t>20</w:t>
            </w:r>
            <w:r w:rsidR="001710BB">
              <w:rPr>
                <w:b/>
                <w:sz w:val="20"/>
              </w:rPr>
              <w:t>08</w:t>
            </w:r>
            <w:r>
              <w:rPr>
                <w:b/>
                <w:sz w:val="20"/>
              </w:rPr>
              <w:t xml:space="preserve"> Survey</w:t>
            </w:r>
            <w:r w:rsidRPr="003A2144">
              <w:rPr>
                <w:b/>
                <w:sz w:val="20"/>
              </w:rPr>
              <w:t xml:space="preserve"> Actual</w:t>
            </w:r>
          </w:p>
        </w:tc>
        <w:tc>
          <w:tcPr>
            <w:tcW w:w="1170" w:type="dxa"/>
          </w:tcPr>
          <w:p w14:paraId="023BDC1A" w14:textId="77777777" w:rsidR="00783AFB" w:rsidRDefault="00763943" w:rsidP="00C238B5">
            <w:pPr>
              <w:tabs>
                <w:tab w:val="left" w:pos="285"/>
                <w:tab w:val="center" w:pos="598"/>
              </w:tabs>
              <w:suppressAutoHyphens/>
              <w:jc w:val="center"/>
              <w:rPr>
                <w:b/>
                <w:sz w:val="20"/>
              </w:rPr>
            </w:pPr>
            <w:r>
              <w:rPr>
                <w:b/>
                <w:sz w:val="20"/>
              </w:rPr>
              <w:t>201</w:t>
            </w:r>
            <w:r w:rsidR="00CE4FE3">
              <w:rPr>
                <w:b/>
                <w:sz w:val="20"/>
              </w:rPr>
              <w:t>1</w:t>
            </w:r>
          </w:p>
          <w:p w14:paraId="4D779508" w14:textId="77777777" w:rsidR="001A431B" w:rsidRDefault="001A431B" w:rsidP="00C238B5">
            <w:pPr>
              <w:tabs>
                <w:tab w:val="left" w:pos="285"/>
                <w:tab w:val="center" w:pos="598"/>
              </w:tabs>
              <w:suppressAutoHyphens/>
              <w:jc w:val="center"/>
              <w:rPr>
                <w:b/>
                <w:sz w:val="20"/>
              </w:rPr>
            </w:pPr>
            <w:r>
              <w:rPr>
                <w:b/>
                <w:sz w:val="20"/>
              </w:rPr>
              <w:t>Survey</w:t>
            </w:r>
          </w:p>
          <w:p w14:paraId="7F9D279A" w14:textId="77777777" w:rsidR="00763943" w:rsidRPr="00986C2B" w:rsidRDefault="000950D3" w:rsidP="00C238B5">
            <w:pPr>
              <w:tabs>
                <w:tab w:val="left" w:pos="285"/>
                <w:tab w:val="center" w:pos="598"/>
              </w:tabs>
              <w:suppressAutoHyphens/>
              <w:jc w:val="center"/>
              <w:rPr>
                <w:b/>
                <w:sz w:val="20"/>
              </w:rPr>
            </w:pPr>
            <w:r>
              <w:rPr>
                <w:b/>
                <w:sz w:val="20"/>
              </w:rPr>
              <w:t>Actual</w:t>
            </w:r>
          </w:p>
        </w:tc>
        <w:tc>
          <w:tcPr>
            <w:tcW w:w="1170" w:type="dxa"/>
          </w:tcPr>
          <w:p w14:paraId="4B052BAA" w14:textId="77777777" w:rsidR="00783AFB" w:rsidRDefault="00763943" w:rsidP="00C238B5">
            <w:pPr>
              <w:tabs>
                <w:tab w:val="left" w:pos="285"/>
                <w:tab w:val="center" w:pos="598"/>
              </w:tabs>
              <w:suppressAutoHyphens/>
              <w:jc w:val="center"/>
              <w:rPr>
                <w:b/>
                <w:sz w:val="20"/>
              </w:rPr>
            </w:pPr>
            <w:r>
              <w:rPr>
                <w:b/>
                <w:sz w:val="20"/>
              </w:rPr>
              <w:t>201</w:t>
            </w:r>
            <w:r w:rsidR="001710BB">
              <w:rPr>
                <w:b/>
                <w:sz w:val="20"/>
              </w:rPr>
              <w:t>4</w:t>
            </w:r>
            <w:r w:rsidRPr="00986C2B">
              <w:rPr>
                <w:b/>
                <w:sz w:val="20"/>
              </w:rPr>
              <w:t xml:space="preserve"> </w:t>
            </w:r>
          </w:p>
          <w:p w14:paraId="2069082E" w14:textId="77777777" w:rsidR="001A431B" w:rsidRDefault="001A431B" w:rsidP="00C238B5">
            <w:pPr>
              <w:tabs>
                <w:tab w:val="left" w:pos="285"/>
                <w:tab w:val="center" w:pos="598"/>
              </w:tabs>
              <w:suppressAutoHyphens/>
              <w:jc w:val="center"/>
              <w:rPr>
                <w:b/>
                <w:sz w:val="20"/>
              </w:rPr>
            </w:pPr>
            <w:r>
              <w:rPr>
                <w:b/>
                <w:sz w:val="20"/>
              </w:rPr>
              <w:t>Survey</w:t>
            </w:r>
          </w:p>
          <w:p w14:paraId="786B8401" w14:textId="77777777" w:rsidR="00763943" w:rsidRPr="00986C2B" w:rsidRDefault="00763943" w:rsidP="00C238B5">
            <w:pPr>
              <w:tabs>
                <w:tab w:val="left" w:pos="285"/>
                <w:tab w:val="center" w:pos="598"/>
              </w:tabs>
              <w:suppressAutoHyphens/>
              <w:jc w:val="center"/>
              <w:rPr>
                <w:b/>
                <w:sz w:val="20"/>
              </w:rPr>
            </w:pPr>
            <w:r w:rsidRPr="00986C2B">
              <w:rPr>
                <w:b/>
                <w:sz w:val="20"/>
              </w:rPr>
              <w:t>Estimated</w:t>
            </w:r>
          </w:p>
        </w:tc>
      </w:tr>
      <w:tr w:rsidR="00763943" w14:paraId="7D2B13D5" w14:textId="77777777" w:rsidTr="00C238B5">
        <w:tblPrEx>
          <w:tblCellMar>
            <w:top w:w="0" w:type="dxa"/>
            <w:bottom w:w="0" w:type="dxa"/>
          </w:tblCellMar>
        </w:tblPrEx>
        <w:tc>
          <w:tcPr>
            <w:tcW w:w="1170" w:type="dxa"/>
            <w:vAlign w:val="bottom"/>
          </w:tcPr>
          <w:p w14:paraId="4BB6BB0F" w14:textId="77777777" w:rsidR="00763943" w:rsidRDefault="00763943" w:rsidP="0001434A">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rPr>
                <w:bCs/>
                <w:sz w:val="20"/>
              </w:rPr>
            </w:pPr>
            <w:r>
              <w:rPr>
                <w:bCs/>
                <w:sz w:val="20"/>
              </w:rPr>
              <w:t>Quality</w:t>
            </w:r>
          </w:p>
        </w:tc>
        <w:tc>
          <w:tcPr>
            <w:tcW w:w="3060" w:type="dxa"/>
            <w:vAlign w:val="bottom"/>
          </w:tcPr>
          <w:p w14:paraId="3C3316C0" w14:textId="77777777" w:rsidR="00763943" w:rsidRPr="00BA3780" w:rsidRDefault="00763943" w:rsidP="00BA3780">
            <w:pPr>
              <w:suppressAutoHyphens/>
              <w:rPr>
                <w:sz w:val="20"/>
                <w:vertAlign w:val="superscript"/>
              </w:rPr>
            </w:pPr>
            <w:r>
              <w:rPr>
                <w:sz w:val="20"/>
              </w:rPr>
              <w:t>Satisfaction w/preparation for graduate school</w:t>
            </w:r>
            <w:r w:rsidR="00BA3780">
              <w:rPr>
                <w:sz w:val="20"/>
                <w:vertAlign w:val="superscript"/>
              </w:rPr>
              <w:t>2</w:t>
            </w:r>
          </w:p>
        </w:tc>
        <w:tc>
          <w:tcPr>
            <w:tcW w:w="1170" w:type="dxa"/>
            <w:vAlign w:val="bottom"/>
          </w:tcPr>
          <w:p w14:paraId="0EFC9799" w14:textId="77777777" w:rsidR="00763943" w:rsidRPr="00546C9C" w:rsidRDefault="001710BB" w:rsidP="006441A6">
            <w:pPr>
              <w:suppressAutoHyphens/>
              <w:jc w:val="center"/>
              <w:rPr>
                <w:sz w:val="20"/>
              </w:rPr>
            </w:pPr>
            <w:r>
              <w:rPr>
                <w:sz w:val="20"/>
              </w:rPr>
              <w:t>98</w:t>
            </w:r>
            <w:r w:rsidR="00763943" w:rsidRPr="00546C9C">
              <w:rPr>
                <w:sz w:val="20"/>
              </w:rPr>
              <w:t>%</w:t>
            </w:r>
          </w:p>
        </w:tc>
        <w:tc>
          <w:tcPr>
            <w:tcW w:w="1170" w:type="dxa"/>
            <w:vAlign w:val="bottom"/>
          </w:tcPr>
          <w:p w14:paraId="0B5085E0" w14:textId="77777777" w:rsidR="00763943" w:rsidRPr="00546C9C" w:rsidRDefault="001710BB" w:rsidP="006441A6">
            <w:pPr>
              <w:suppressAutoHyphens/>
              <w:jc w:val="center"/>
              <w:rPr>
                <w:sz w:val="20"/>
              </w:rPr>
            </w:pPr>
            <w:r>
              <w:rPr>
                <w:sz w:val="20"/>
              </w:rPr>
              <w:t>98</w:t>
            </w:r>
            <w:r w:rsidR="00763943" w:rsidRPr="00546C9C">
              <w:rPr>
                <w:sz w:val="20"/>
              </w:rPr>
              <w:t xml:space="preserve">% </w:t>
            </w:r>
          </w:p>
        </w:tc>
        <w:tc>
          <w:tcPr>
            <w:tcW w:w="1170" w:type="dxa"/>
            <w:vAlign w:val="bottom"/>
          </w:tcPr>
          <w:p w14:paraId="2B2CAC2E" w14:textId="77777777" w:rsidR="00763943" w:rsidRPr="00546C9C" w:rsidRDefault="001710BB" w:rsidP="006441A6">
            <w:pPr>
              <w:suppressAutoHyphens/>
              <w:jc w:val="center"/>
              <w:rPr>
                <w:sz w:val="20"/>
              </w:rPr>
            </w:pPr>
            <w:r>
              <w:rPr>
                <w:sz w:val="20"/>
              </w:rPr>
              <w:t>99</w:t>
            </w:r>
            <w:r w:rsidR="00763943" w:rsidRPr="00546C9C">
              <w:rPr>
                <w:sz w:val="20"/>
              </w:rPr>
              <w:t>%</w:t>
            </w:r>
          </w:p>
        </w:tc>
        <w:tc>
          <w:tcPr>
            <w:tcW w:w="1170" w:type="dxa"/>
            <w:vAlign w:val="bottom"/>
          </w:tcPr>
          <w:p w14:paraId="6BD63753" w14:textId="77777777" w:rsidR="00763943" w:rsidRPr="000B1917" w:rsidRDefault="001710BB" w:rsidP="004F69A9">
            <w:pPr>
              <w:tabs>
                <w:tab w:val="left" w:pos="285"/>
                <w:tab w:val="center" w:pos="598"/>
              </w:tabs>
              <w:suppressAutoHyphens/>
              <w:jc w:val="center"/>
              <w:rPr>
                <w:sz w:val="20"/>
              </w:rPr>
            </w:pPr>
            <w:r>
              <w:rPr>
                <w:sz w:val="20"/>
              </w:rPr>
              <w:t>100</w:t>
            </w:r>
            <w:r w:rsidR="00763943" w:rsidRPr="000B1917">
              <w:rPr>
                <w:sz w:val="20"/>
              </w:rPr>
              <w:t>%</w:t>
            </w:r>
          </w:p>
        </w:tc>
        <w:tc>
          <w:tcPr>
            <w:tcW w:w="1170" w:type="dxa"/>
          </w:tcPr>
          <w:p w14:paraId="14156A75" w14:textId="77777777" w:rsidR="00763943" w:rsidRDefault="00763943" w:rsidP="00C238B5">
            <w:pPr>
              <w:suppressAutoHyphens/>
              <w:jc w:val="center"/>
              <w:rPr>
                <w:sz w:val="20"/>
              </w:rPr>
            </w:pPr>
          </w:p>
          <w:p w14:paraId="14A1D55C" w14:textId="77777777" w:rsidR="00763943" w:rsidRPr="000B1917" w:rsidRDefault="00194D74" w:rsidP="00C238B5">
            <w:pPr>
              <w:suppressAutoHyphens/>
              <w:jc w:val="center"/>
              <w:rPr>
                <w:sz w:val="20"/>
              </w:rPr>
            </w:pPr>
            <w:r>
              <w:rPr>
                <w:sz w:val="20"/>
              </w:rPr>
              <w:t>100</w:t>
            </w:r>
            <w:r w:rsidR="00763943" w:rsidRPr="000B1917">
              <w:rPr>
                <w:sz w:val="20"/>
              </w:rPr>
              <w:t>%</w:t>
            </w:r>
          </w:p>
        </w:tc>
        <w:tc>
          <w:tcPr>
            <w:tcW w:w="1170" w:type="dxa"/>
            <w:vAlign w:val="bottom"/>
          </w:tcPr>
          <w:p w14:paraId="1F82EF82" w14:textId="77777777" w:rsidR="00763943" w:rsidRPr="000950D3" w:rsidRDefault="00194D74" w:rsidP="0001434A">
            <w:pPr>
              <w:suppressAutoHyphens/>
              <w:jc w:val="center"/>
              <w:rPr>
                <w:sz w:val="20"/>
              </w:rPr>
            </w:pPr>
            <w:r w:rsidRPr="000950D3">
              <w:rPr>
                <w:sz w:val="20"/>
              </w:rPr>
              <w:t>100</w:t>
            </w:r>
            <w:r w:rsidR="00763943" w:rsidRPr="000950D3">
              <w:rPr>
                <w:sz w:val="20"/>
              </w:rPr>
              <w:t>%</w:t>
            </w:r>
          </w:p>
        </w:tc>
      </w:tr>
    </w:tbl>
    <w:p w14:paraId="78A4C8C3" w14:textId="77777777" w:rsidR="00585C01" w:rsidRDefault="00585C01" w:rsidP="00A367B9">
      <w:pPr>
        <w:widowControl/>
        <w:tabs>
          <w:tab w:val="left" w:pos="1710"/>
        </w:tabs>
        <w:jc w:val="both"/>
        <w:rPr>
          <w:b/>
          <w:sz w:val="20"/>
        </w:rPr>
      </w:pPr>
    </w:p>
    <w:p w14:paraId="64B6E0BE" w14:textId="77777777" w:rsidR="00782455" w:rsidRDefault="00585C01" w:rsidP="00782455">
      <w:pPr>
        <w:widowControl/>
        <w:tabs>
          <w:tab w:val="left" w:pos="1710"/>
        </w:tabs>
        <w:ind w:left="1710" w:hanging="1350"/>
        <w:jc w:val="both"/>
        <w:rPr>
          <w:b/>
          <w:sz w:val="20"/>
        </w:rPr>
      </w:pPr>
      <w:r>
        <w:rPr>
          <w:b/>
          <w:sz w:val="20"/>
        </w:rPr>
        <w:t>Objective 1.4</w:t>
      </w:r>
      <w:r w:rsidR="00782455">
        <w:rPr>
          <w:b/>
          <w:sz w:val="20"/>
        </w:rPr>
        <w:tab/>
      </w:r>
      <w:r w:rsidR="00FC7719">
        <w:rPr>
          <w:sz w:val="20"/>
        </w:rPr>
        <w:t>Through 2014</w:t>
      </w:r>
      <w:r>
        <w:rPr>
          <w:sz w:val="20"/>
        </w:rPr>
        <w:t>, the percentage of SU graduates who are satisfied with their level of preparation for employment will be no le</w:t>
      </w:r>
      <w:r w:rsidR="00FC7719">
        <w:rPr>
          <w:sz w:val="20"/>
        </w:rPr>
        <w:t>ss than the 98%</w:t>
      </w:r>
      <w:r>
        <w:rPr>
          <w:sz w:val="20"/>
        </w:rPr>
        <w:t>.</w:t>
      </w:r>
    </w:p>
    <w:p w14:paraId="56D8B542" w14:textId="77777777" w:rsidR="00782455" w:rsidRPr="00782455" w:rsidRDefault="00782455" w:rsidP="00782455">
      <w:pPr>
        <w:widowControl/>
        <w:tabs>
          <w:tab w:val="left" w:pos="1710"/>
        </w:tabs>
        <w:ind w:left="1710" w:hanging="1350"/>
        <w:jc w:val="both"/>
        <w:rPr>
          <w:b/>
          <w:sz w:val="20"/>
        </w:rPr>
      </w:pPr>
    </w:p>
    <w:tbl>
      <w:tblPr>
        <w:tblW w:w="11250" w:type="dxa"/>
        <w:tblInd w:w="468" w:type="dxa"/>
        <w:tblLayout w:type="fixed"/>
        <w:tblLook w:val="0000" w:firstRow="0" w:lastRow="0" w:firstColumn="0" w:lastColumn="0" w:noHBand="0" w:noVBand="0"/>
      </w:tblPr>
      <w:tblGrid>
        <w:gridCol w:w="1170"/>
        <w:gridCol w:w="3060"/>
        <w:gridCol w:w="1170"/>
        <w:gridCol w:w="1170"/>
        <w:gridCol w:w="1170"/>
        <w:gridCol w:w="1170"/>
        <w:gridCol w:w="1170"/>
        <w:gridCol w:w="1170"/>
      </w:tblGrid>
      <w:tr w:rsidR="00763943" w:rsidRPr="00C204B2" w14:paraId="45D971CD" w14:textId="77777777" w:rsidTr="00763943">
        <w:tblPrEx>
          <w:tblCellMar>
            <w:top w:w="0" w:type="dxa"/>
            <w:bottom w:w="0" w:type="dxa"/>
          </w:tblCellMar>
        </w:tblPrEx>
        <w:tc>
          <w:tcPr>
            <w:tcW w:w="4230" w:type="dxa"/>
            <w:gridSpan w:val="2"/>
            <w:vAlign w:val="bottom"/>
          </w:tcPr>
          <w:p w14:paraId="52AE95D1" w14:textId="77777777" w:rsidR="00763943" w:rsidRDefault="00763943" w:rsidP="0085602C">
            <w:pPr>
              <w:suppressAutoHyphens/>
              <w:rPr>
                <w:sz w:val="20"/>
              </w:rPr>
            </w:pPr>
            <w:r>
              <w:rPr>
                <w:b/>
                <w:bCs/>
                <w:sz w:val="20"/>
              </w:rPr>
              <w:t>Performance Measures</w:t>
            </w:r>
          </w:p>
        </w:tc>
        <w:tc>
          <w:tcPr>
            <w:tcW w:w="1170" w:type="dxa"/>
            <w:vAlign w:val="bottom"/>
          </w:tcPr>
          <w:p w14:paraId="0EB661E6" w14:textId="77777777" w:rsidR="00763943" w:rsidRPr="003A2144" w:rsidRDefault="00763943" w:rsidP="006441A6">
            <w:pPr>
              <w:suppressAutoHyphens/>
              <w:jc w:val="center"/>
              <w:rPr>
                <w:b/>
                <w:sz w:val="20"/>
              </w:rPr>
            </w:pPr>
            <w:r>
              <w:rPr>
                <w:b/>
                <w:sz w:val="20"/>
              </w:rPr>
              <w:t>200</w:t>
            </w:r>
            <w:r w:rsidR="001710BB">
              <w:rPr>
                <w:b/>
                <w:sz w:val="20"/>
              </w:rPr>
              <w:t>0</w:t>
            </w:r>
            <w:r>
              <w:rPr>
                <w:b/>
                <w:sz w:val="20"/>
              </w:rPr>
              <w:t xml:space="preserve"> Survey</w:t>
            </w:r>
            <w:r w:rsidRPr="003A2144">
              <w:rPr>
                <w:b/>
                <w:sz w:val="20"/>
              </w:rPr>
              <w:t xml:space="preserve"> Actual</w:t>
            </w:r>
          </w:p>
        </w:tc>
        <w:tc>
          <w:tcPr>
            <w:tcW w:w="1170" w:type="dxa"/>
            <w:vAlign w:val="bottom"/>
          </w:tcPr>
          <w:p w14:paraId="05D66869" w14:textId="77777777" w:rsidR="00763943" w:rsidRPr="003A2144" w:rsidRDefault="00763943" w:rsidP="006441A6">
            <w:pPr>
              <w:suppressAutoHyphens/>
              <w:jc w:val="center"/>
              <w:rPr>
                <w:b/>
                <w:sz w:val="20"/>
              </w:rPr>
            </w:pPr>
            <w:r>
              <w:rPr>
                <w:b/>
                <w:sz w:val="20"/>
              </w:rPr>
              <w:t>200</w:t>
            </w:r>
            <w:r w:rsidR="001710BB">
              <w:rPr>
                <w:b/>
                <w:sz w:val="20"/>
              </w:rPr>
              <w:t>2</w:t>
            </w:r>
            <w:r>
              <w:rPr>
                <w:b/>
                <w:sz w:val="20"/>
              </w:rPr>
              <w:t xml:space="preserve"> Survey</w:t>
            </w:r>
            <w:r w:rsidRPr="003A2144">
              <w:rPr>
                <w:b/>
                <w:sz w:val="20"/>
              </w:rPr>
              <w:t xml:space="preserve"> Actual</w:t>
            </w:r>
          </w:p>
        </w:tc>
        <w:tc>
          <w:tcPr>
            <w:tcW w:w="1170" w:type="dxa"/>
            <w:vAlign w:val="bottom"/>
          </w:tcPr>
          <w:p w14:paraId="0D702BEF" w14:textId="77777777" w:rsidR="00763943" w:rsidRPr="003A2144" w:rsidRDefault="00763943" w:rsidP="00CE4FE3">
            <w:pPr>
              <w:tabs>
                <w:tab w:val="left" w:pos="285"/>
                <w:tab w:val="center" w:pos="598"/>
              </w:tabs>
              <w:suppressAutoHyphens/>
              <w:jc w:val="center"/>
              <w:rPr>
                <w:b/>
                <w:color w:val="0000FF"/>
                <w:sz w:val="20"/>
              </w:rPr>
            </w:pPr>
            <w:r>
              <w:rPr>
                <w:b/>
                <w:sz w:val="20"/>
              </w:rPr>
              <w:t>200</w:t>
            </w:r>
            <w:r w:rsidR="001710BB">
              <w:rPr>
                <w:b/>
                <w:sz w:val="20"/>
              </w:rPr>
              <w:t>5</w:t>
            </w:r>
            <w:r>
              <w:rPr>
                <w:b/>
                <w:sz w:val="20"/>
              </w:rPr>
              <w:t xml:space="preserve"> Survey</w:t>
            </w:r>
            <w:r w:rsidRPr="003A2144">
              <w:rPr>
                <w:b/>
                <w:sz w:val="20"/>
              </w:rPr>
              <w:t xml:space="preserve"> Actual</w:t>
            </w:r>
          </w:p>
        </w:tc>
        <w:tc>
          <w:tcPr>
            <w:tcW w:w="1170" w:type="dxa"/>
            <w:vAlign w:val="bottom"/>
          </w:tcPr>
          <w:p w14:paraId="2352349C" w14:textId="77777777" w:rsidR="00763943" w:rsidRPr="003A2144" w:rsidRDefault="00763943" w:rsidP="00CE4FE3">
            <w:pPr>
              <w:tabs>
                <w:tab w:val="left" w:pos="285"/>
                <w:tab w:val="center" w:pos="598"/>
              </w:tabs>
              <w:suppressAutoHyphens/>
              <w:jc w:val="center"/>
              <w:rPr>
                <w:b/>
                <w:color w:val="0000FF"/>
                <w:sz w:val="20"/>
              </w:rPr>
            </w:pPr>
            <w:r>
              <w:rPr>
                <w:b/>
                <w:sz w:val="20"/>
              </w:rPr>
              <w:t>20</w:t>
            </w:r>
            <w:r w:rsidR="001710BB">
              <w:rPr>
                <w:b/>
                <w:sz w:val="20"/>
              </w:rPr>
              <w:t>08</w:t>
            </w:r>
            <w:r>
              <w:rPr>
                <w:b/>
                <w:sz w:val="20"/>
              </w:rPr>
              <w:t xml:space="preserve"> Survey</w:t>
            </w:r>
            <w:r w:rsidRPr="003A2144">
              <w:rPr>
                <w:b/>
                <w:sz w:val="20"/>
              </w:rPr>
              <w:t xml:space="preserve"> Actual</w:t>
            </w:r>
          </w:p>
        </w:tc>
        <w:tc>
          <w:tcPr>
            <w:tcW w:w="1170" w:type="dxa"/>
          </w:tcPr>
          <w:p w14:paraId="23B914C6" w14:textId="77777777" w:rsidR="001A431B" w:rsidRDefault="00763943" w:rsidP="000950D3">
            <w:pPr>
              <w:tabs>
                <w:tab w:val="left" w:pos="285"/>
                <w:tab w:val="center" w:pos="598"/>
              </w:tabs>
              <w:suppressAutoHyphens/>
              <w:jc w:val="center"/>
              <w:rPr>
                <w:b/>
                <w:sz w:val="20"/>
              </w:rPr>
            </w:pPr>
            <w:r>
              <w:rPr>
                <w:b/>
                <w:sz w:val="20"/>
              </w:rPr>
              <w:t>201</w:t>
            </w:r>
            <w:r w:rsidR="00CE4FE3">
              <w:rPr>
                <w:b/>
                <w:sz w:val="20"/>
              </w:rPr>
              <w:t>1</w:t>
            </w:r>
            <w:r w:rsidR="001A431B">
              <w:rPr>
                <w:b/>
                <w:sz w:val="20"/>
              </w:rPr>
              <w:t xml:space="preserve"> Survey</w:t>
            </w:r>
            <w:r w:rsidRPr="00986C2B">
              <w:rPr>
                <w:b/>
                <w:sz w:val="20"/>
              </w:rPr>
              <w:t xml:space="preserve"> </w:t>
            </w:r>
          </w:p>
          <w:p w14:paraId="0E5EAA14" w14:textId="77777777" w:rsidR="00763943" w:rsidRPr="00986C2B" w:rsidRDefault="000950D3" w:rsidP="000950D3">
            <w:pPr>
              <w:tabs>
                <w:tab w:val="left" w:pos="285"/>
                <w:tab w:val="center" w:pos="598"/>
              </w:tabs>
              <w:suppressAutoHyphens/>
              <w:jc w:val="center"/>
              <w:rPr>
                <w:b/>
                <w:sz w:val="20"/>
              </w:rPr>
            </w:pPr>
            <w:r>
              <w:rPr>
                <w:b/>
                <w:sz w:val="20"/>
              </w:rPr>
              <w:t>Actual</w:t>
            </w:r>
          </w:p>
        </w:tc>
        <w:tc>
          <w:tcPr>
            <w:tcW w:w="1170" w:type="dxa"/>
          </w:tcPr>
          <w:p w14:paraId="60AF72F1" w14:textId="77777777" w:rsidR="00763943" w:rsidRPr="00986C2B" w:rsidRDefault="00763943" w:rsidP="00C238B5">
            <w:pPr>
              <w:tabs>
                <w:tab w:val="left" w:pos="285"/>
                <w:tab w:val="center" w:pos="598"/>
              </w:tabs>
              <w:suppressAutoHyphens/>
              <w:jc w:val="center"/>
              <w:rPr>
                <w:b/>
                <w:sz w:val="20"/>
              </w:rPr>
            </w:pPr>
            <w:r>
              <w:rPr>
                <w:b/>
                <w:sz w:val="20"/>
              </w:rPr>
              <w:t>201</w:t>
            </w:r>
            <w:r w:rsidR="001710BB">
              <w:rPr>
                <w:b/>
                <w:sz w:val="20"/>
              </w:rPr>
              <w:t>4</w:t>
            </w:r>
            <w:r w:rsidRPr="00986C2B">
              <w:rPr>
                <w:b/>
                <w:sz w:val="20"/>
              </w:rPr>
              <w:t xml:space="preserve"> </w:t>
            </w:r>
            <w:r w:rsidR="001A431B">
              <w:rPr>
                <w:b/>
                <w:sz w:val="20"/>
              </w:rPr>
              <w:t xml:space="preserve">Survey </w:t>
            </w:r>
            <w:r w:rsidRPr="00986C2B">
              <w:rPr>
                <w:b/>
                <w:sz w:val="20"/>
              </w:rPr>
              <w:t>Estimated</w:t>
            </w:r>
          </w:p>
        </w:tc>
      </w:tr>
      <w:tr w:rsidR="00763943" w14:paraId="328B4D33" w14:textId="77777777" w:rsidTr="00C238B5">
        <w:tblPrEx>
          <w:tblCellMar>
            <w:top w:w="0" w:type="dxa"/>
            <w:bottom w:w="0" w:type="dxa"/>
          </w:tblCellMar>
        </w:tblPrEx>
        <w:tc>
          <w:tcPr>
            <w:tcW w:w="1170" w:type="dxa"/>
            <w:vAlign w:val="bottom"/>
          </w:tcPr>
          <w:p w14:paraId="41EF8EAE" w14:textId="77777777" w:rsidR="00763943" w:rsidRDefault="00763943" w:rsidP="0001434A">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rPr>
                <w:bCs/>
                <w:sz w:val="20"/>
              </w:rPr>
            </w:pPr>
            <w:r>
              <w:rPr>
                <w:bCs/>
                <w:sz w:val="20"/>
              </w:rPr>
              <w:t>Quality</w:t>
            </w:r>
          </w:p>
        </w:tc>
        <w:tc>
          <w:tcPr>
            <w:tcW w:w="3060" w:type="dxa"/>
            <w:vAlign w:val="bottom"/>
          </w:tcPr>
          <w:p w14:paraId="1E416E72" w14:textId="77777777" w:rsidR="00763943" w:rsidRDefault="00763943" w:rsidP="0001434A">
            <w:pPr>
              <w:suppressAutoHyphens/>
              <w:rPr>
                <w:sz w:val="20"/>
                <w:vertAlign w:val="superscript"/>
              </w:rPr>
            </w:pPr>
            <w:r>
              <w:rPr>
                <w:sz w:val="20"/>
              </w:rPr>
              <w:t>Satisfaction w/preparation for employment</w:t>
            </w:r>
            <w:r>
              <w:rPr>
                <w:sz w:val="20"/>
                <w:vertAlign w:val="superscript"/>
              </w:rPr>
              <w:t>2</w:t>
            </w:r>
          </w:p>
        </w:tc>
        <w:tc>
          <w:tcPr>
            <w:tcW w:w="1170" w:type="dxa"/>
            <w:vAlign w:val="bottom"/>
          </w:tcPr>
          <w:p w14:paraId="4F36DEF5" w14:textId="77777777" w:rsidR="00763943" w:rsidRPr="00546C9C" w:rsidRDefault="001710BB" w:rsidP="006441A6">
            <w:pPr>
              <w:suppressAutoHyphens/>
              <w:jc w:val="center"/>
              <w:rPr>
                <w:sz w:val="20"/>
              </w:rPr>
            </w:pPr>
            <w:r>
              <w:rPr>
                <w:sz w:val="20"/>
              </w:rPr>
              <w:t>93</w:t>
            </w:r>
            <w:r w:rsidR="00763943" w:rsidRPr="00546C9C">
              <w:rPr>
                <w:sz w:val="20"/>
              </w:rPr>
              <w:t>%</w:t>
            </w:r>
          </w:p>
        </w:tc>
        <w:tc>
          <w:tcPr>
            <w:tcW w:w="1170" w:type="dxa"/>
            <w:vAlign w:val="bottom"/>
          </w:tcPr>
          <w:p w14:paraId="07144B27" w14:textId="77777777" w:rsidR="00763943" w:rsidRPr="00546C9C" w:rsidRDefault="001710BB" w:rsidP="006441A6">
            <w:pPr>
              <w:suppressAutoHyphens/>
              <w:jc w:val="center"/>
              <w:rPr>
                <w:sz w:val="20"/>
              </w:rPr>
            </w:pPr>
            <w:r>
              <w:rPr>
                <w:sz w:val="20"/>
              </w:rPr>
              <w:t>92</w:t>
            </w:r>
            <w:r w:rsidR="00763943" w:rsidRPr="00546C9C">
              <w:rPr>
                <w:sz w:val="20"/>
              </w:rPr>
              <w:t>%</w:t>
            </w:r>
          </w:p>
        </w:tc>
        <w:tc>
          <w:tcPr>
            <w:tcW w:w="1170" w:type="dxa"/>
            <w:vAlign w:val="bottom"/>
          </w:tcPr>
          <w:p w14:paraId="3093CB18" w14:textId="77777777" w:rsidR="00763943" w:rsidRPr="00546C9C" w:rsidRDefault="001710BB" w:rsidP="006441A6">
            <w:pPr>
              <w:suppressAutoHyphens/>
              <w:jc w:val="center"/>
              <w:rPr>
                <w:sz w:val="20"/>
              </w:rPr>
            </w:pPr>
            <w:r>
              <w:rPr>
                <w:sz w:val="20"/>
              </w:rPr>
              <w:t>97</w:t>
            </w:r>
            <w:r w:rsidR="00763943">
              <w:rPr>
                <w:sz w:val="20"/>
              </w:rPr>
              <w:t>%</w:t>
            </w:r>
          </w:p>
        </w:tc>
        <w:tc>
          <w:tcPr>
            <w:tcW w:w="1170" w:type="dxa"/>
            <w:vAlign w:val="bottom"/>
          </w:tcPr>
          <w:p w14:paraId="30E32CD7" w14:textId="77777777" w:rsidR="00763943" w:rsidRPr="000B1917" w:rsidRDefault="00162D7B" w:rsidP="00C238B5">
            <w:pPr>
              <w:tabs>
                <w:tab w:val="left" w:pos="285"/>
                <w:tab w:val="center" w:pos="598"/>
              </w:tabs>
              <w:suppressAutoHyphens/>
              <w:jc w:val="center"/>
              <w:rPr>
                <w:sz w:val="20"/>
              </w:rPr>
            </w:pPr>
            <w:r>
              <w:rPr>
                <w:sz w:val="20"/>
              </w:rPr>
              <w:t>99</w:t>
            </w:r>
            <w:r w:rsidR="00763943" w:rsidRPr="000B1917">
              <w:rPr>
                <w:sz w:val="20"/>
              </w:rPr>
              <w:t>%</w:t>
            </w:r>
          </w:p>
        </w:tc>
        <w:tc>
          <w:tcPr>
            <w:tcW w:w="1170" w:type="dxa"/>
          </w:tcPr>
          <w:p w14:paraId="163BF4C5" w14:textId="77777777" w:rsidR="00763943" w:rsidRDefault="00763943" w:rsidP="00C238B5">
            <w:pPr>
              <w:suppressAutoHyphens/>
              <w:jc w:val="center"/>
              <w:rPr>
                <w:sz w:val="20"/>
              </w:rPr>
            </w:pPr>
          </w:p>
          <w:p w14:paraId="1529FA0B" w14:textId="77777777" w:rsidR="00763943" w:rsidRPr="000B1917" w:rsidRDefault="000950D3" w:rsidP="00C238B5">
            <w:pPr>
              <w:suppressAutoHyphens/>
              <w:jc w:val="center"/>
              <w:rPr>
                <w:sz w:val="20"/>
              </w:rPr>
            </w:pPr>
            <w:r>
              <w:rPr>
                <w:sz w:val="20"/>
              </w:rPr>
              <w:t>95</w:t>
            </w:r>
            <w:r w:rsidR="00763943" w:rsidRPr="000B1917">
              <w:rPr>
                <w:sz w:val="20"/>
              </w:rPr>
              <w:t>%</w:t>
            </w:r>
          </w:p>
        </w:tc>
        <w:tc>
          <w:tcPr>
            <w:tcW w:w="1170" w:type="dxa"/>
            <w:vAlign w:val="bottom"/>
          </w:tcPr>
          <w:p w14:paraId="066A2E9F" w14:textId="77777777" w:rsidR="00763943" w:rsidRPr="00121EC8" w:rsidRDefault="000950D3" w:rsidP="0001434A">
            <w:pPr>
              <w:suppressAutoHyphens/>
              <w:jc w:val="center"/>
              <w:rPr>
                <w:sz w:val="20"/>
              </w:rPr>
            </w:pPr>
            <w:r>
              <w:rPr>
                <w:sz w:val="20"/>
              </w:rPr>
              <w:t>98</w:t>
            </w:r>
            <w:r w:rsidR="00763943" w:rsidRPr="00121EC8">
              <w:rPr>
                <w:sz w:val="20"/>
              </w:rPr>
              <w:t>%</w:t>
            </w:r>
          </w:p>
        </w:tc>
      </w:tr>
    </w:tbl>
    <w:p w14:paraId="251D634A" w14:textId="77777777" w:rsidR="00585C01" w:rsidRDefault="00585C01" w:rsidP="00782455">
      <w:pPr>
        <w:tabs>
          <w:tab w:val="left" w:pos="1350"/>
          <w:tab w:val="right" w:pos="5850"/>
          <w:tab w:val="right" w:pos="7290"/>
          <w:tab w:val="right" w:pos="8730"/>
          <w:tab w:val="right" w:pos="9810"/>
        </w:tabs>
        <w:ind w:right="-54"/>
        <w:rPr>
          <w:sz w:val="20"/>
        </w:rPr>
      </w:pPr>
    </w:p>
    <w:p w14:paraId="7376C57A" w14:textId="77777777" w:rsidR="00585C01" w:rsidRDefault="00585C01" w:rsidP="00585C01">
      <w:pPr>
        <w:tabs>
          <w:tab w:val="left" w:pos="1350"/>
          <w:tab w:val="right" w:pos="5850"/>
          <w:tab w:val="right" w:pos="7290"/>
          <w:tab w:val="right" w:pos="8730"/>
        </w:tabs>
        <w:ind w:right="-54"/>
        <w:rPr>
          <w:b/>
          <w:sz w:val="20"/>
        </w:rPr>
      </w:pPr>
    </w:p>
    <w:p w14:paraId="2E82D0FB" w14:textId="77777777" w:rsidR="00783AFB" w:rsidRDefault="00783AFB" w:rsidP="00782455">
      <w:pPr>
        <w:ind w:left="720" w:hanging="720"/>
        <w:rPr>
          <w:b/>
          <w:sz w:val="20"/>
        </w:rPr>
      </w:pPr>
    </w:p>
    <w:p w14:paraId="6B980A2B" w14:textId="77777777" w:rsidR="0067429A" w:rsidRDefault="0067429A" w:rsidP="00782455">
      <w:pPr>
        <w:ind w:left="720" w:hanging="720"/>
        <w:rPr>
          <w:b/>
          <w:sz w:val="20"/>
        </w:rPr>
      </w:pPr>
    </w:p>
    <w:p w14:paraId="42CAFD6C" w14:textId="77777777" w:rsidR="00783AFB" w:rsidRDefault="00783AFB" w:rsidP="00782455">
      <w:pPr>
        <w:ind w:left="720" w:hanging="720"/>
        <w:rPr>
          <w:b/>
          <w:sz w:val="20"/>
        </w:rPr>
      </w:pPr>
    </w:p>
    <w:p w14:paraId="0068DDFF" w14:textId="77777777" w:rsidR="00585C01" w:rsidRDefault="00585C01" w:rsidP="00782455">
      <w:pPr>
        <w:ind w:left="720" w:hanging="720"/>
        <w:rPr>
          <w:sz w:val="20"/>
        </w:rPr>
      </w:pPr>
      <w:r>
        <w:rPr>
          <w:b/>
          <w:sz w:val="20"/>
        </w:rPr>
        <w:t>Goal 2.</w:t>
      </w:r>
      <w:r>
        <w:rPr>
          <w:b/>
          <w:sz w:val="20"/>
        </w:rPr>
        <w:tab/>
      </w:r>
      <w:r>
        <w:rPr>
          <w:sz w:val="20"/>
        </w:rPr>
        <w:t xml:space="preserve">Utilize strategic collaborations and targeted community outreach to benefit the University, </w:t>
      </w:r>
      <w:smartTag w:uri="urn:schemas-microsoft-com:office:smarttags" w:element="State">
        <w:smartTag w:uri="urn:schemas-microsoft-com:office:smarttags" w:element="Street">
          <w:r>
            <w:rPr>
              <w:sz w:val="20"/>
            </w:rPr>
            <w:t>Maryland</w:t>
          </w:r>
        </w:smartTag>
      </w:smartTag>
      <w:r>
        <w:rPr>
          <w:sz w:val="20"/>
        </w:rPr>
        <w:t>, and the region.</w:t>
      </w:r>
    </w:p>
    <w:p w14:paraId="5219373C" w14:textId="77777777" w:rsidR="00585C01" w:rsidRDefault="00585C01" w:rsidP="00585C01">
      <w:pPr>
        <w:widowControl/>
        <w:tabs>
          <w:tab w:val="left" w:pos="1800"/>
          <w:tab w:val="right" w:pos="5850"/>
          <w:tab w:val="right" w:pos="7290"/>
          <w:tab w:val="right" w:pos="8640"/>
          <w:tab w:val="right" w:pos="9900"/>
        </w:tabs>
        <w:ind w:left="1800" w:right="5040" w:hanging="900"/>
        <w:rPr>
          <w:b/>
          <w:sz w:val="20"/>
        </w:rPr>
      </w:pPr>
    </w:p>
    <w:p w14:paraId="2C68CA19" w14:textId="77777777" w:rsidR="00870FA3" w:rsidRPr="005F2450" w:rsidRDefault="00870FA3" w:rsidP="00870FA3">
      <w:pPr>
        <w:tabs>
          <w:tab w:val="left" w:pos="1710"/>
          <w:tab w:val="right" w:pos="6030"/>
          <w:tab w:val="right" w:pos="7380"/>
          <w:tab w:val="right" w:pos="8550"/>
          <w:tab w:val="right" w:pos="9900"/>
          <w:tab w:val="right" w:pos="11610"/>
          <w:tab w:val="right" w:pos="12870"/>
        </w:tabs>
        <w:ind w:left="1710" w:hanging="1350"/>
        <w:rPr>
          <w:b/>
          <w:bCs/>
          <w:sz w:val="20"/>
        </w:rPr>
      </w:pPr>
      <w:r w:rsidRPr="005F2450">
        <w:rPr>
          <w:b/>
          <w:sz w:val="20"/>
        </w:rPr>
        <w:lastRenderedPageBreak/>
        <w:t>Objective 2.1</w:t>
      </w:r>
      <w:r w:rsidRPr="005F2450">
        <w:rPr>
          <w:b/>
          <w:sz w:val="20"/>
        </w:rPr>
        <w:tab/>
      </w:r>
      <w:r w:rsidRPr="005F2450">
        <w:rPr>
          <w:sz w:val="20"/>
        </w:rPr>
        <w:t xml:space="preserve">The estimated </w:t>
      </w:r>
      <w:r w:rsidR="00735724">
        <w:rPr>
          <w:sz w:val="20"/>
        </w:rPr>
        <w:t>percentage</w:t>
      </w:r>
      <w:r w:rsidRPr="005F2450">
        <w:rPr>
          <w:sz w:val="20"/>
        </w:rPr>
        <w:t xml:space="preserve"> of graduates employed in Maryland w</w:t>
      </w:r>
      <w:r w:rsidR="00FC7719" w:rsidRPr="005F2450">
        <w:rPr>
          <w:sz w:val="20"/>
        </w:rPr>
        <w:t xml:space="preserve">ill </w:t>
      </w:r>
      <w:r w:rsidR="00D67803">
        <w:rPr>
          <w:sz w:val="20"/>
        </w:rPr>
        <w:t>increase from</w:t>
      </w:r>
      <w:r w:rsidR="00FC7719" w:rsidRPr="005F2450">
        <w:rPr>
          <w:sz w:val="20"/>
        </w:rPr>
        <w:t xml:space="preserve"> </w:t>
      </w:r>
      <w:r w:rsidR="00622371">
        <w:rPr>
          <w:sz w:val="20"/>
        </w:rPr>
        <w:t>70.5%</w:t>
      </w:r>
      <w:r w:rsidR="00FC7719" w:rsidRPr="005F2450">
        <w:rPr>
          <w:sz w:val="20"/>
        </w:rPr>
        <w:t xml:space="preserve"> </w:t>
      </w:r>
      <w:r w:rsidR="00D67803">
        <w:rPr>
          <w:sz w:val="20"/>
        </w:rPr>
        <w:t xml:space="preserve">in 2008 to 70.8% </w:t>
      </w:r>
      <w:r w:rsidR="00FC7719" w:rsidRPr="005F2450">
        <w:rPr>
          <w:sz w:val="20"/>
        </w:rPr>
        <w:t xml:space="preserve">in </w:t>
      </w:r>
      <w:r w:rsidR="00622371">
        <w:rPr>
          <w:sz w:val="20"/>
        </w:rPr>
        <w:t>20</w:t>
      </w:r>
      <w:r w:rsidR="00D67803">
        <w:rPr>
          <w:sz w:val="20"/>
        </w:rPr>
        <w:t>14</w:t>
      </w:r>
      <w:r w:rsidRPr="005F2450">
        <w:rPr>
          <w:sz w:val="20"/>
        </w:rPr>
        <w:t>.</w:t>
      </w:r>
      <w:r w:rsidRPr="005F2450">
        <w:rPr>
          <w:b/>
          <w:bCs/>
          <w:sz w:val="20"/>
        </w:rPr>
        <w:t xml:space="preserve"> </w:t>
      </w:r>
    </w:p>
    <w:p w14:paraId="4B1DE604" w14:textId="77777777" w:rsidR="00870FA3" w:rsidRPr="005F2450" w:rsidRDefault="00870FA3" w:rsidP="00870FA3">
      <w:pPr>
        <w:widowControl/>
        <w:tabs>
          <w:tab w:val="left" w:pos="1710"/>
        </w:tabs>
        <w:jc w:val="both"/>
        <w:rPr>
          <w:b/>
          <w:sz w:val="20"/>
        </w:rPr>
      </w:pPr>
    </w:p>
    <w:tbl>
      <w:tblPr>
        <w:tblW w:w="11250" w:type="dxa"/>
        <w:tblInd w:w="468" w:type="dxa"/>
        <w:tblLayout w:type="fixed"/>
        <w:tblLook w:val="0000" w:firstRow="0" w:lastRow="0" w:firstColumn="0" w:lastColumn="0" w:noHBand="0" w:noVBand="0"/>
      </w:tblPr>
      <w:tblGrid>
        <w:gridCol w:w="1170"/>
        <w:gridCol w:w="3060"/>
        <w:gridCol w:w="1170"/>
        <w:gridCol w:w="1170"/>
        <w:gridCol w:w="1170"/>
        <w:gridCol w:w="1170"/>
        <w:gridCol w:w="1170"/>
        <w:gridCol w:w="1170"/>
      </w:tblGrid>
      <w:tr w:rsidR="00870FA3" w:rsidRPr="005F2450" w14:paraId="78DE1D8E" w14:textId="77777777" w:rsidTr="00FC7719">
        <w:tblPrEx>
          <w:tblCellMar>
            <w:top w:w="0" w:type="dxa"/>
            <w:bottom w:w="0" w:type="dxa"/>
          </w:tblCellMar>
        </w:tblPrEx>
        <w:tc>
          <w:tcPr>
            <w:tcW w:w="4230" w:type="dxa"/>
            <w:gridSpan w:val="2"/>
            <w:vAlign w:val="bottom"/>
          </w:tcPr>
          <w:p w14:paraId="550E057D" w14:textId="77777777" w:rsidR="00870FA3" w:rsidRPr="005F2450" w:rsidRDefault="00870FA3" w:rsidP="00870FA3">
            <w:pPr>
              <w:suppressAutoHyphens/>
              <w:rPr>
                <w:b/>
                <w:bCs/>
                <w:sz w:val="20"/>
              </w:rPr>
            </w:pPr>
            <w:r w:rsidRPr="005F2450">
              <w:rPr>
                <w:b/>
                <w:bCs/>
                <w:sz w:val="20"/>
              </w:rPr>
              <w:t>Performance Measures</w:t>
            </w:r>
          </w:p>
        </w:tc>
        <w:tc>
          <w:tcPr>
            <w:tcW w:w="1170" w:type="dxa"/>
            <w:vAlign w:val="bottom"/>
          </w:tcPr>
          <w:p w14:paraId="15F564AE" w14:textId="77777777" w:rsidR="00870FA3" w:rsidRPr="005F2450" w:rsidRDefault="00870FA3" w:rsidP="00D02CD0">
            <w:pPr>
              <w:suppressAutoHyphens/>
              <w:jc w:val="center"/>
              <w:rPr>
                <w:b/>
                <w:sz w:val="20"/>
              </w:rPr>
            </w:pPr>
          </w:p>
        </w:tc>
        <w:tc>
          <w:tcPr>
            <w:tcW w:w="1170" w:type="dxa"/>
            <w:vAlign w:val="bottom"/>
          </w:tcPr>
          <w:p w14:paraId="022419A4" w14:textId="77777777" w:rsidR="00870FA3" w:rsidRPr="005F2450" w:rsidRDefault="00870FA3" w:rsidP="00D02CD0">
            <w:pPr>
              <w:suppressAutoHyphens/>
              <w:jc w:val="center"/>
              <w:rPr>
                <w:b/>
                <w:sz w:val="20"/>
              </w:rPr>
            </w:pPr>
          </w:p>
        </w:tc>
        <w:tc>
          <w:tcPr>
            <w:tcW w:w="1170" w:type="dxa"/>
            <w:vAlign w:val="bottom"/>
          </w:tcPr>
          <w:p w14:paraId="3DF8656C" w14:textId="77777777" w:rsidR="00870FA3" w:rsidRPr="005F2450" w:rsidRDefault="00870FA3" w:rsidP="00D02CD0">
            <w:pPr>
              <w:tabs>
                <w:tab w:val="left" w:pos="285"/>
                <w:tab w:val="center" w:pos="598"/>
              </w:tabs>
              <w:suppressAutoHyphens/>
              <w:jc w:val="center"/>
              <w:rPr>
                <w:b/>
                <w:sz w:val="20"/>
              </w:rPr>
            </w:pPr>
          </w:p>
        </w:tc>
        <w:tc>
          <w:tcPr>
            <w:tcW w:w="1170" w:type="dxa"/>
            <w:vAlign w:val="bottom"/>
          </w:tcPr>
          <w:p w14:paraId="7D57A697" w14:textId="77777777" w:rsidR="00870FA3" w:rsidRPr="005F2450" w:rsidRDefault="00870FA3" w:rsidP="00D02CD0">
            <w:pPr>
              <w:tabs>
                <w:tab w:val="left" w:pos="285"/>
                <w:tab w:val="center" w:pos="598"/>
              </w:tabs>
              <w:suppressAutoHyphens/>
              <w:jc w:val="center"/>
              <w:rPr>
                <w:b/>
                <w:sz w:val="20"/>
              </w:rPr>
            </w:pPr>
          </w:p>
        </w:tc>
        <w:tc>
          <w:tcPr>
            <w:tcW w:w="1170" w:type="dxa"/>
          </w:tcPr>
          <w:p w14:paraId="269EF534" w14:textId="77777777" w:rsidR="00870FA3" w:rsidRPr="005F2450" w:rsidRDefault="00870FA3" w:rsidP="00870FA3">
            <w:pPr>
              <w:tabs>
                <w:tab w:val="left" w:pos="285"/>
                <w:tab w:val="center" w:pos="598"/>
              </w:tabs>
              <w:suppressAutoHyphens/>
              <w:jc w:val="center"/>
              <w:rPr>
                <w:b/>
                <w:sz w:val="20"/>
              </w:rPr>
            </w:pPr>
          </w:p>
        </w:tc>
        <w:tc>
          <w:tcPr>
            <w:tcW w:w="1170" w:type="dxa"/>
          </w:tcPr>
          <w:p w14:paraId="3B319998" w14:textId="77777777" w:rsidR="00870FA3" w:rsidRPr="005F2450" w:rsidRDefault="00870FA3" w:rsidP="00870FA3">
            <w:pPr>
              <w:tabs>
                <w:tab w:val="left" w:pos="285"/>
                <w:tab w:val="center" w:pos="598"/>
              </w:tabs>
              <w:suppressAutoHyphens/>
              <w:jc w:val="center"/>
              <w:rPr>
                <w:b/>
                <w:sz w:val="20"/>
              </w:rPr>
            </w:pPr>
          </w:p>
        </w:tc>
      </w:tr>
      <w:tr w:rsidR="00781BFC" w:rsidRPr="005F2450" w14:paraId="42720871" w14:textId="77777777" w:rsidTr="00FC7719">
        <w:tblPrEx>
          <w:tblCellMar>
            <w:top w:w="0" w:type="dxa"/>
            <w:bottom w:w="0" w:type="dxa"/>
          </w:tblCellMar>
        </w:tblPrEx>
        <w:tc>
          <w:tcPr>
            <w:tcW w:w="1170" w:type="dxa"/>
          </w:tcPr>
          <w:p w14:paraId="7C20B968" w14:textId="77777777" w:rsidR="00781BFC" w:rsidRPr="005F2450" w:rsidRDefault="00781BFC" w:rsidP="004634E9">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p>
        </w:tc>
        <w:tc>
          <w:tcPr>
            <w:tcW w:w="3060" w:type="dxa"/>
            <w:vAlign w:val="bottom"/>
          </w:tcPr>
          <w:p w14:paraId="0E75CF7C" w14:textId="77777777" w:rsidR="00781BFC" w:rsidRPr="005F2450" w:rsidRDefault="00781BFC" w:rsidP="004634E9">
            <w:pPr>
              <w:suppressAutoHyphens/>
              <w:rPr>
                <w:sz w:val="20"/>
              </w:rPr>
            </w:pPr>
          </w:p>
        </w:tc>
        <w:tc>
          <w:tcPr>
            <w:tcW w:w="1170" w:type="dxa"/>
            <w:vAlign w:val="bottom"/>
          </w:tcPr>
          <w:p w14:paraId="58A56F88" w14:textId="77777777" w:rsidR="00781BFC" w:rsidRPr="005F2450" w:rsidRDefault="00781BFC" w:rsidP="00781BFC">
            <w:pPr>
              <w:suppressAutoHyphens/>
              <w:jc w:val="center"/>
              <w:rPr>
                <w:b/>
                <w:bCs/>
                <w:sz w:val="20"/>
              </w:rPr>
            </w:pPr>
            <w:r w:rsidRPr="005F2450">
              <w:rPr>
                <w:b/>
                <w:bCs/>
                <w:sz w:val="20"/>
              </w:rPr>
              <w:t>2000</w:t>
            </w:r>
          </w:p>
          <w:p w14:paraId="5DB4AA0B" w14:textId="77777777" w:rsidR="00781BFC" w:rsidRPr="005F2450" w:rsidRDefault="00781BFC" w:rsidP="00781BFC">
            <w:pPr>
              <w:suppressAutoHyphens/>
              <w:jc w:val="center"/>
              <w:rPr>
                <w:b/>
                <w:bCs/>
                <w:sz w:val="20"/>
              </w:rPr>
            </w:pPr>
            <w:r w:rsidRPr="005F2450">
              <w:rPr>
                <w:b/>
                <w:bCs/>
                <w:sz w:val="20"/>
              </w:rPr>
              <w:t>Survey Actual</w:t>
            </w:r>
          </w:p>
        </w:tc>
        <w:tc>
          <w:tcPr>
            <w:tcW w:w="1170" w:type="dxa"/>
            <w:vAlign w:val="bottom"/>
          </w:tcPr>
          <w:p w14:paraId="76EC4893" w14:textId="77777777" w:rsidR="00781BFC" w:rsidRPr="005F2450" w:rsidRDefault="00781BFC" w:rsidP="00781BFC">
            <w:pPr>
              <w:suppressAutoHyphens/>
              <w:jc w:val="center"/>
              <w:rPr>
                <w:b/>
                <w:bCs/>
                <w:sz w:val="20"/>
              </w:rPr>
            </w:pPr>
            <w:r w:rsidRPr="005F2450">
              <w:rPr>
                <w:b/>
                <w:bCs/>
                <w:sz w:val="20"/>
              </w:rPr>
              <w:t>2002</w:t>
            </w:r>
          </w:p>
          <w:p w14:paraId="61A934C6" w14:textId="77777777" w:rsidR="00781BFC" w:rsidRPr="005F2450" w:rsidRDefault="00781BFC" w:rsidP="00781BFC">
            <w:pPr>
              <w:suppressAutoHyphens/>
              <w:jc w:val="center"/>
              <w:rPr>
                <w:b/>
                <w:sz w:val="20"/>
              </w:rPr>
            </w:pPr>
            <w:r w:rsidRPr="005F2450">
              <w:rPr>
                <w:b/>
                <w:bCs/>
                <w:sz w:val="20"/>
              </w:rPr>
              <w:t>Survey Actual</w:t>
            </w:r>
          </w:p>
        </w:tc>
        <w:tc>
          <w:tcPr>
            <w:tcW w:w="1170" w:type="dxa"/>
            <w:vAlign w:val="bottom"/>
          </w:tcPr>
          <w:p w14:paraId="335A760F" w14:textId="77777777" w:rsidR="00781BFC" w:rsidRPr="005F2450" w:rsidRDefault="00781BFC" w:rsidP="00781BFC">
            <w:pPr>
              <w:suppressAutoHyphens/>
              <w:jc w:val="center"/>
              <w:rPr>
                <w:b/>
                <w:bCs/>
                <w:sz w:val="20"/>
              </w:rPr>
            </w:pPr>
            <w:r w:rsidRPr="005F2450">
              <w:rPr>
                <w:b/>
                <w:bCs/>
                <w:sz w:val="20"/>
              </w:rPr>
              <w:t>2005</w:t>
            </w:r>
          </w:p>
          <w:p w14:paraId="306FE708" w14:textId="77777777" w:rsidR="00781BFC" w:rsidRPr="005F2450" w:rsidRDefault="00781BFC" w:rsidP="00781BFC">
            <w:pPr>
              <w:suppressAutoHyphens/>
              <w:jc w:val="center"/>
              <w:rPr>
                <w:b/>
                <w:sz w:val="20"/>
              </w:rPr>
            </w:pPr>
            <w:r w:rsidRPr="005F2450">
              <w:rPr>
                <w:b/>
                <w:bCs/>
                <w:sz w:val="20"/>
              </w:rPr>
              <w:t>Survey Actual</w:t>
            </w:r>
          </w:p>
        </w:tc>
        <w:tc>
          <w:tcPr>
            <w:tcW w:w="1170" w:type="dxa"/>
            <w:vAlign w:val="bottom"/>
          </w:tcPr>
          <w:p w14:paraId="4FFEDF9E" w14:textId="77777777" w:rsidR="00781BFC" w:rsidRPr="005F2450" w:rsidRDefault="00781BFC" w:rsidP="00781BFC">
            <w:pPr>
              <w:suppressAutoHyphens/>
              <w:jc w:val="center"/>
              <w:rPr>
                <w:b/>
                <w:bCs/>
                <w:sz w:val="20"/>
              </w:rPr>
            </w:pPr>
            <w:r w:rsidRPr="005F2450">
              <w:rPr>
                <w:b/>
                <w:bCs/>
                <w:sz w:val="20"/>
              </w:rPr>
              <w:t>2008</w:t>
            </w:r>
          </w:p>
          <w:p w14:paraId="7FD595B3" w14:textId="77777777" w:rsidR="00781BFC" w:rsidRPr="005F2450" w:rsidRDefault="00781BFC" w:rsidP="00781BFC">
            <w:pPr>
              <w:tabs>
                <w:tab w:val="left" w:pos="285"/>
                <w:tab w:val="center" w:pos="598"/>
              </w:tabs>
              <w:suppressAutoHyphens/>
              <w:jc w:val="center"/>
              <w:rPr>
                <w:b/>
                <w:sz w:val="20"/>
              </w:rPr>
            </w:pPr>
            <w:r w:rsidRPr="005F2450">
              <w:rPr>
                <w:b/>
                <w:bCs/>
                <w:sz w:val="20"/>
              </w:rPr>
              <w:t>Survey Actual</w:t>
            </w:r>
          </w:p>
        </w:tc>
        <w:tc>
          <w:tcPr>
            <w:tcW w:w="1170" w:type="dxa"/>
            <w:vAlign w:val="bottom"/>
          </w:tcPr>
          <w:p w14:paraId="3FDCE40C" w14:textId="77777777" w:rsidR="00781BFC" w:rsidRPr="005F2450" w:rsidRDefault="00781BFC" w:rsidP="00781BFC">
            <w:pPr>
              <w:suppressAutoHyphens/>
              <w:jc w:val="center"/>
              <w:rPr>
                <w:b/>
                <w:bCs/>
                <w:sz w:val="20"/>
              </w:rPr>
            </w:pPr>
            <w:r w:rsidRPr="005F2450">
              <w:rPr>
                <w:b/>
                <w:bCs/>
                <w:sz w:val="20"/>
              </w:rPr>
              <w:t>2011</w:t>
            </w:r>
          </w:p>
          <w:p w14:paraId="1825691E" w14:textId="77777777" w:rsidR="00781BFC" w:rsidRPr="005F2450" w:rsidRDefault="00781BFC" w:rsidP="001764D4">
            <w:pPr>
              <w:suppressAutoHyphens/>
              <w:jc w:val="center"/>
              <w:rPr>
                <w:b/>
                <w:sz w:val="20"/>
              </w:rPr>
            </w:pPr>
            <w:r w:rsidRPr="005F2450">
              <w:rPr>
                <w:b/>
                <w:bCs/>
                <w:sz w:val="20"/>
              </w:rPr>
              <w:t xml:space="preserve">Survey </w:t>
            </w:r>
            <w:r w:rsidR="001764D4">
              <w:rPr>
                <w:b/>
                <w:bCs/>
                <w:sz w:val="20"/>
              </w:rPr>
              <w:t>Actual</w:t>
            </w:r>
          </w:p>
        </w:tc>
        <w:tc>
          <w:tcPr>
            <w:tcW w:w="1170" w:type="dxa"/>
            <w:vAlign w:val="bottom"/>
          </w:tcPr>
          <w:p w14:paraId="6E3E65AF" w14:textId="77777777" w:rsidR="00781BFC" w:rsidRPr="005F2450" w:rsidRDefault="00781BFC" w:rsidP="00781BFC">
            <w:pPr>
              <w:suppressAutoHyphens/>
              <w:jc w:val="center"/>
              <w:rPr>
                <w:b/>
                <w:bCs/>
                <w:sz w:val="20"/>
              </w:rPr>
            </w:pPr>
            <w:r w:rsidRPr="005F2450">
              <w:rPr>
                <w:b/>
                <w:bCs/>
                <w:sz w:val="20"/>
              </w:rPr>
              <w:t>2014</w:t>
            </w:r>
          </w:p>
          <w:p w14:paraId="6ACFD6D8" w14:textId="77777777" w:rsidR="00781BFC" w:rsidRPr="005F2450" w:rsidRDefault="00781BFC" w:rsidP="00781BFC">
            <w:pPr>
              <w:suppressAutoHyphens/>
              <w:jc w:val="center"/>
              <w:rPr>
                <w:b/>
                <w:sz w:val="20"/>
              </w:rPr>
            </w:pPr>
            <w:r w:rsidRPr="005F2450">
              <w:rPr>
                <w:b/>
                <w:bCs/>
                <w:sz w:val="20"/>
              </w:rPr>
              <w:t>Survey Estimated</w:t>
            </w:r>
          </w:p>
        </w:tc>
      </w:tr>
      <w:tr w:rsidR="004634E9" w:rsidRPr="005F2450" w14:paraId="407FD922" w14:textId="77777777" w:rsidTr="00FC7719">
        <w:tblPrEx>
          <w:tblCellMar>
            <w:top w:w="0" w:type="dxa"/>
            <w:bottom w:w="0" w:type="dxa"/>
          </w:tblCellMar>
        </w:tblPrEx>
        <w:tc>
          <w:tcPr>
            <w:tcW w:w="1170" w:type="dxa"/>
          </w:tcPr>
          <w:p w14:paraId="2BBAA727" w14:textId="77777777" w:rsidR="004634E9" w:rsidRPr="005F2450" w:rsidRDefault="004634E9" w:rsidP="004634E9">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r w:rsidRPr="005F2450">
              <w:rPr>
                <w:sz w:val="20"/>
              </w:rPr>
              <w:t>Outcome</w:t>
            </w:r>
          </w:p>
        </w:tc>
        <w:tc>
          <w:tcPr>
            <w:tcW w:w="3060" w:type="dxa"/>
            <w:vAlign w:val="bottom"/>
          </w:tcPr>
          <w:p w14:paraId="32AB3D50" w14:textId="77777777" w:rsidR="004634E9" w:rsidRPr="005F2450" w:rsidRDefault="004634E9" w:rsidP="004634E9">
            <w:pPr>
              <w:suppressAutoHyphens/>
              <w:rPr>
                <w:sz w:val="20"/>
                <w:vertAlign w:val="superscript"/>
              </w:rPr>
            </w:pPr>
            <w:r w:rsidRPr="005F2450">
              <w:rPr>
                <w:sz w:val="20"/>
              </w:rPr>
              <w:t>Percent of Bachelor’s degree recipients employed in MD</w:t>
            </w:r>
            <w:r w:rsidR="00B461F8" w:rsidRPr="005F2450">
              <w:rPr>
                <w:sz w:val="20"/>
                <w:vertAlign w:val="superscript"/>
              </w:rPr>
              <w:t>2</w:t>
            </w:r>
            <w:r w:rsidRPr="005F2450">
              <w:rPr>
                <w:sz w:val="20"/>
              </w:rPr>
              <w:t>.</w:t>
            </w:r>
          </w:p>
        </w:tc>
        <w:tc>
          <w:tcPr>
            <w:tcW w:w="1170" w:type="dxa"/>
            <w:vAlign w:val="bottom"/>
          </w:tcPr>
          <w:p w14:paraId="6E5BFE1A" w14:textId="77777777" w:rsidR="004634E9" w:rsidRPr="005F2450" w:rsidRDefault="000A1AFB" w:rsidP="004E28D1">
            <w:pPr>
              <w:suppressAutoHyphens/>
              <w:jc w:val="center"/>
              <w:rPr>
                <w:bCs/>
                <w:sz w:val="20"/>
              </w:rPr>
            </w:pPr>
            <w:r w:rsidRPr="005F2450">
              <w:rPr>
                <w:bCs/>
                <w:sz w:val="20"/>
              </w:rPr>
              <w:t>60.3</w:t>
            </w:r>
            <w:r w:rsidR="004E28D1" w:rsidRPr="005F2450">
              <w:rPr>
                <w:bCs/>
                <w:sz w:val="20"/>
              </w:rPr>
              <w:t>%</w:t>
            </w:r>
          </w:p>
        </w:tc>
        <w:tc>
          <w:tcPr>
            <w:tcW w:w="1170" w:type="dxa"/>
            <w:vAlign w:val="bottom"/>
          </w:tcPr>
          <w:p w14:paraId="5A3015B1" w14:textId="77777777" w:rsidR="004634E9" w:rsidRPr="005F2450" w:rsidRDefault="000A1AFB" w:rsidP="004E28D1">
            <w:pPr>
              <w:suppressAutoHyphens/>
              <w:jc w:val="center"/>
              <w:rPr>
                <w:sz w:val="20"/>
              </w:rPr>
            </w:pPr>
            <w:r w:rsidRPr="005F2450">
              <w:rPr>
                <w:sz w:val="20"/>
              </w:rPr>
              <w:t>64.6</w:t>
            </w:r>
            <w:r w:rsidR="004E28D1" w:rsidRPr="005F2450">
              <w:rPr>
                <w:sz w:val="20"/>
              </w:rPr>
              <w:t>%</w:t>
            </w:r>
          </w:p>
        </w:tc>
        <w:tc>
          <w:tcPr>
            <w:tcW w:w="1170" w:type="dxa"/>
            <w:vAlign w:val="bottom"/>
          </w:tcPr>
          <w:p w14:paraId="01BD1706" w14:textId="77777777" w:rsidR="004634E9" w:rsidRPr="005F2450" w:rsidRDefault="000A1AFB" w:rsidP="004E28D1">
            <w:pPr>
              <w:suppressAutoHyphens/>
              <w:jc w:val="center"/>
              <w:rPr>
                <w:sz w:val="20"/>
              </w:rPr>
            </w:pPr>
            <w:r w:rsidRPr="005F2450">
              <w:rPr>
                <w:sz w:val="20"/>
              </w:rPr>
              <w:t>70.7</w:t>
            </w:r>
            <w:r w:rsidR="004E28D1" w:rsidRPr="005F2450">
              <w:rPr>
                <w:sz w:val="20"/>
              </w:rPr>
              <w:t>%</w:t>
            </w:r>
          </w:p>
        </w:tc>
        <w:tc>
          <w:tcPr>
            <w:tcW w:w="1170" w:type="dxa"/>
            <w:vAlign w:val="bottom"/>
          </w:tcPr>
          <w:p w14:paraId="4E28EDFC" w14:textId="77777777" w:rsidR="004634E9" w:rsidRPr="005F2450" w:rsidRDefault="000A1AFB" w:rsidP="004E28D1">
            <w:pPr>
              <w:tabs>
                <w:tab w:val="left" w:pos="285"/>
                <w:tab w:val="center" w:pos="598"/>
              </w:tabs>
              <w:suppressAutoHyphens/>
              <w:jc w:val="center"/>
              <w:rPr>
                <w:sz w:val="20"/>
              </w:rPr>
            </w:pPr>
            <w:r w:rsidRPr="005F2450">
              <w:rPr>
                <w:sz w:val="20"/>
              </w:rPr>
              <w:t>70.5</w:t>
            </w:r>
            <w:r w:rsidR="004E28D1" w:rsidRPr="005F2450">
              <w:rPr>
                <w:sz w:val="20"/>
              </w:rPr>
              <w:t>%</w:t>
            </w:r>
          </w:p>
        </w:tc>
        <w:tc>
          <w:tcPr>
            <w:tcW w:w="1170" w:type="dxa"/>
            <w:vAlign w:val="bottom"/>
          </w:tcPr>
          <w:p w14:paraId="133ECE38" w14:textId="77777777" w:rsidR="004634E9" w:rsidRPr="005F2450" w:rsidRDefault="000C6FFB" w:rsidP="004E28D1">
            <w:pPr>
              <w:suppressAutoHyphens/>
              <w:jc w:val="center"/>
              <w:rPr>
                <w:sz w:val="20"/>
              </w:rPr>
            </w:pPr>
            <w:r>
              <w:rPr>
                <w:sz w:val="20"/>
              </w:rPr>
              <w:t>75.2</w:t>
            </w:r>
            <w:r w:rsidR="00AB72EA">
              <w:rPr>
                <w:sz w:val="20"/>
              </w:rPr>
              <w:t>%</w:t>
            </w:r>
          </w:p>
        </w:tc>
        <w:tc>
          <w:tcPr>
            <w:tcW w:w="1170" w:type="dxa"/>
            <w:vAlign w:val="bottom"/>
          </w:tcPr>
          <w:p w14:paraId="6B79F383" w14:textId="77777777" w:rsidR="004634E9" w:rsidRPr="005F2450" w:rsidRDefault="00AB72EA" w:rsidP="000C6FFB">
            <w:pPr>
              <w:suppressAutoHyphens/>
              <w:jc w:val="center"/>
              <w:rPr>
                <w:sz w:val="20"/>
              </w:rPr>
            </w:pPr>
            <w:r>
              <w:rPr>
                <w:sz w:val="20"/>
              </w:rPr>
              <w:t>7</w:t>
            </w:r>
            <w:r w:rsidR="000C6FFB">
              <w:rPr>
                <w:sz w:val="20"/>
              </w:rPr>
              <w:t>5.4%</w:t>
            </w:r>
          </w:p>
        </w:tc>
      </w:tr>
    </w:tbl>
    <w:p w14:paraId="03B9C09A" w14:textId="77777777" w:rsidR="00870FA3" w:rsidRDefault="00870FA3" w:rsidP="008742FE">
      <w:pPr>
        <w:tabs>
          <w:tab w:val="left" w:pos="1710"/>
          <w:tab w:val="right" w:pos="6030"/>
          <w:tab w:val="right" w:pos="7380"/>
          <w:tab w:val="right" w:pos="8550"/>
          <w:tab w:val="right" w:pos="9900"/>
          <w:tab w:val="right" w:pos="11610"/>
          <w:tab w:val="right" w:pos="12870"/>
        </w:tabs>
        <w:ind w:left="1710" w:hanging="1350"/>
        <w:rPr>
          <w:b/>
          <w:sz w:val="20"/>
        </w:rPr>
      </w:pPr>
    </w:p>
    <w:p w14:paraId="081E7FDB" w14:textId="77777777" w:rsidR="00382F81" w:rsidRDefault="00382F81" w:rsidP="00382F81">
      <w:pPr>
        <w:widowControl/>
        <w:tabs>
          <w:tab w:val="left" w:pos="1710"/>
        </w:tabs>
        <w:ind w:left="1710" w:hanging="1350"/>
        <w:jc w:val="both"/>
        <w:rPr>
          <w:b/>
          <w:sz w:val="20"/>
        </w:rPr>
      </w:pPr>
      <w:r>
        <w:rPr>
          <w:b/>
          <w:sz w:val="20"/>
        </w:rPr>
        <w:t>Objective 2.2</w:t>
      </w:r>
      <w:r>
        <w:rPr>
          <w:b/>
          <w:sz w:val="20"/>
        </w:rPr>
        <w:tab/>
      </w:r>
      <w:r w:rsidR="00FC7719">
        <w:rPr>
          <w:bCs/>
          <w:sz w:val="20"/>
        </w:rPr>
        <w:t>Through 2014</w:t>
      </w:r>
      <w:r>
        <w:rPr>
          <w:bCs/>
          <w:sz w:val="20"/>
        </w:rPr>
        <w:t xml:space="preserve">, </w:t>
      </w:r>
      <w:r>
        <w:rPr>
          <w:sz w:val="20"/>
        </w:rPr>
        <w:t>the percentage of graduates employed one-year after graduation will be no less than the 95% achieved in 200</w:t>
      </w:r>
      <w:r w:rsidR="00FC7719">
        <w:rPr>
          <w:sz w:val="20"/>
        </w:rPr>
        <w:t>8</w:t>
      </w:r>
      <w:r>
        <w:rPr>
          <w:sz w:val="20"/>
        </w:rPr>
        <w:t>.</w:t>
      </w:r>
      <w:r>
        <w:rPr>
          <w:b/>
          <w:sz w:val="20"/>
        </w:rPr>
        <w:t xml:space="preserve"> </w:t>
      </w:r>
    </w:p>
    <w:p w14:paraId="151BB8F9" w14:textId="77777777" w:rsidR="00382F81" w:rsidRDefault="00382F81" w:rsidP="00382F81">
      <w:pPr>
        <w:tabs>
          <w:tab w:val="right" w:pos="6030"/>
          <w:tab w:val="right" w:pos="7380"/>
          <w:tab w:val="right" w:pos="8820"/>
          <w:tab w:val="right" w:pos="10170"/>
          <w:tab w:val="right" w:pos="11610"/>
          <w:tab w:val="right" w:pos="12870"/>
        </w:tabs>
        <w:rPr>
          <w:b/>
          <w:bCs/>
          <w:sz w:val="20"/>
        </w:rPr>
      </w:pPr>
      <w:r>
        <w:rPr>
          <w:b/>
          <w:bCs/>
          <w:sz w:val="20"/>
        </w:rPr>
        <w:br/>
      </w:r>
    </w:p>
    <w:tbl>
      <w:tblPr>
        <w:tblW w:w="11250" w:type="dxa"/>
        <w:tblInd w:w="468" w:type="dxa"/>
        <w:tblLayout w:type="fixed"/>
        <w:tblLook w:val="01E0" w:firstRow="1" w:lastRow="1" w:firstColumn="1" w:lastColumn="1" w:noHBand="0" w:noVBand="0"/>
      </w:tblPr>
      <w:tblGrid>
        <w:gridCol w:w="1170"/>
        <w:gridCol w:w="3240"/>
        <w:gridCol w:w="990"/>
        <w:gridCol w:w="1170"/>
        <w:gridCol w:w="1170"/>
        <w:gridCol w:w="1170"/>
        <w:gridCol w:w="1170"/>
        <w:gridCol w:w="1170"/>
      </w:tblGrid>
      <w:tr w:rsidR="00382F81" w:rsidRPr="007F4CAF" w14:paraId="0E5AE866" w14:textId="77777777" w:rsidTr="00382F81">
        <w:tc>
          <w:tcPr>
            <w:tcW w:w="4410" w:type="dxa"/>
            <w:gridSpan w:val="2"/>
            <w:vAlign w:val="bottom"/>
          </w:tcPr>
          <w:p w14:paraId="6393D5B6" w14:textId="77777777" w:rsidR="00382F81" w:rsidRPr="007F4CAF" w:rsidRDefault="00382F81" w:rsidP="00382F81">
            <w:pPr>
              <w:suppressAutoHyphens/>
              <w:rPr>
                <w:sz w:val="20"/>
              </w:rPr>
            </w:pPr>
            <w:r w:rsidRPr="007F4CAF">
              <w:rPr>
                <w:b/>
                <w:bCs/>
                <w:sz w:val="20"/>
              </w:rPr>
              <w:t>Performance Measures</w:t>
            </w:r>
          </w:p>
        </w:tc>
        <w:tc>
          <w:tcPr>
            <w:tcW w:w="990" w:type="dxa"/>
            <w:vAlign w:val="bottom"/>
          </w:tcPr>
          <w:p w14:paraId="397A9C3B" w14:textId="77777777" w:rsidR="00382F81" w:rsidRPr="007F4CAF" w:rsidRDefault="00382F81" w:rsidP="00382F81">
            <w:pPr>
              <w:suppressAutoHyphens/>
              <w:jc w:val="center"/>
              <w:rPr>
                <w:b/>
                <w:sz w:val="20"/>
              </w:rPr>
            </w:pPr>
            <w:r w:rsidRPr="007F4CAF">
              <w:rPr>
                <w:b/>
                <w:sz w:val="20"/>
              </w:rPr>
              <w:t>200</w:t>
            </w:r>
            <w:r w:rsidR="00CE22C8">
              <w:rPr>
                <w:b/>
                <w:sz w:val="20"/>
              </w:rPr>
              <w:t>0</w:t>
            </w:r>
            <w:r w:rsidRPr="007F4CAF">
              <w:rPr>
                <w:b/>
                <w:sz w:val="20"/>
              </w:rPr>
              <w:t xml:space="preserve"> Survey Actual</w:t>
            </w:r>
          </w:p>
        </w:tc>
        <w:tc>
          <w:tcPr>
            <w:tcW w:w="1170" w:type="dxa"/>
            <w:vAlign w:val="bottom"/>
          </w:tcPr>
          <w:p w14:paraId="2FC8599A" w14:textId="77777777" w:rsidR="00382F81" w:rsidRPr="007F4CAF" w:rsidRDefault="00382F81" w:rsidP="00382F81">
            <w:pPr>
              <w:suppressAutoHyphens/>
              <w:jc w:val="center"/>
              <w:rPr>
                <w:b/>
                <w:sz w:val="20"/>
              </w:rPr>
            </w:pPr>
            <w:r w:rsidRPr="007F4CAF">
              <w:rPr>
                <w:b/>
                <w:sz w:val="20"/>
              </w:rPr>
              <w:t>200</w:t>
            </w:r>
            <w:r w:rsidR="00CE22C8">
              <w:rPr>
                <w:b/>
                <w:sz w:val="20"/>
              </w:rPr>
              <w:t>2</w:t>
            </w:r>
            <w:r w:rsidRPr="007F4CAF">
              <w:rPr>
                <w:b/>
                <w:sz w:val="20"/>
              </w:rPr>
              <w:t xml:space="preserve"> Survey Actual</w:t>
            </w:r>
          </w:p>
        </w:tc>
        <w:tc>
          <w:tcPr>
            <w:tcW w:w="1170" w:type="dxa"/>
            <w:vAlign w:val="bottom"/>
          </w:tcPr>
          <w:p w14:paraId="34223E71" w14:textId="77777777" w:rsidR="00382F81" w:rsidRPr="007F4CAF" w:rsidRDefault="00382F81" w:rsidP="00382F81">
            <w:pPr>
              <w:tabs>
                <w:tab w:val="left" w:pos="285"/>
                <w:tab w:val="center" w:pos="598"/>
              </w:tabs>
              <w:suppressAutoHyphens/>
              <w:jc w:val="center"/>
              <w:rPr>
                <w:b/>
                <w:color w:val="0000FF"/>
                <w:sz w:val="20"/>
              </w:rPr>
            </w:pPr>
            <w:r w:rsidRPr="007F4CAF">
              <w:rPr>
                <w:b/>
                <w:sz w:val="20"/>
              </w:rPr>
              <w:t>200</w:t>
            </w:r>
            <w:r w:rsidR="00CE22C8">
              <w:rPr>
                <w:b/>
                <w:sz w:val="20"/>
              </w:rPr>
              <w:t>5</w:t>
            </w:r>
            <w:r w:rsidRPr="007F4CAF">
              <w:rPr>
                <w:b/>
                <w:sz w:val="20"/>
              </w:rPr>
              <w:t xml:space="preserve"> Survey Actual</w:t>
            </w:r>
          </w:p>
        </w:tc>
        <w:tc>
          <w:tcPr>
            <w:tcW w:w="1170" w:type="dxa"/>
            <w:vAlign w:val="bottom"/>
          </w:tcPr>
          <w:p w14:paraId="20C23232" w14:textId="77777777" w:rsidR="00382F81" w:rsidRPr="007F4CAF" w:rsidRDefault="00382F81" w:rsidP="00382F81">
            <w:pPr>
              <w:tabs>
                <w:tab w:val="left" w:pos="285"/>
                <w:tab w:val="center" w:pos="598"/>
              </w:tabs>
              <w:suppressAutoHyphens/>
              <w:jc w:val="center"/>
              <w:rPr>
                <w:b/>
                <w:color w:val="0000FF"/>
                <w:sz w:val="20"/>
              </w:rPr>
            </w:pPr>
            <w:r w:rsidRPr="007F4CAF">
              <w:rPr>
                <w:b/>
                <w:sz w:val="20"/>
              </w:rPr>
              <w:t>20</w:t>
            </w:r>
            <w:r w:rsidR="00CE22C8">
              <w:rPr>
                <w:b/>
                <w:sz w:val="20"/>
              </w:rPr>
              <w:t>08</w:t>
            </w:r>
            <w:r w:rsidRPr="007F4CAF">
              <w:rPr>
                <w:b/>
                <w:sz w:val="20"/>
              </w:rPr>
              <w:t xml:space="preserve"> Survey Actual</w:t>
            </w:r>
          </w:p>
        </w:tc>
        <w:tc>
          <w:tcPr>
            <w:tcW w:w="1170" w:type="dxa"/>
          </w:tcPr>
          <w:p w14:paraId="550C6408" w14:textId="77777777" w:rsidR="00382F81" w:rsidRPr="007F4CAF" w:rsidRDefault="00382F81" w:rsidP="001764D4">
            <w:pPr>
              <w:tabs>
                <w:tab w:val="left" w:pos="285"/>
                <w:tab w:val="center" w:pos="598"/>
              </w:tabs>
              <w:suppressAutoHyphens/>
              <w:jc w:val="center"/>
              <w:rPr>
                <w:b/>
                <w:sz w:val="20"/>
              </w:rPr>
            </w:pPr>
            <w:r w:rsidRPr="007F4CAF">
              <w:rPr>
                <w:b/>
                <w:sz w:val="20"/>
              </w:rPr>
              <w:t>201</w:t>
            </w:r>
            <w:r>
              <w:rPr>
                <w:b/>
                <w:sz w:val="20"/>
              </w:rPr>
              <w:t>1</w:t>
            </w:r>
            <w:r w:rsidRPr="007F4CAF">
              <w:rPr>
                <w:b/>
                <w:sz w:val="20"/>
              </w:rPr>
              <w:t xml:space="preserve"> Survey </w:t>
            </w:r>
            <w:r w:rsidR="001764D4">
              <w:rPr>
                <w:b/>
                <w:sz w:val="20"/>
              </w:rPr>
              <w:t>Actual</w:t>
            </w:r>
          </w:p>
        </w:tc>
        <w:tc>
          <w:tcPr>
            <w:tcW w:w="1170" w:type="dxa"/>
          </w:tcPr>
          <w:p w14:paraId="576665C4" w14:textId="77777777" w:rsidR="00382F81" w:rsidRPr="007F4CAF" w:rsidRDefault="00382F81" w:rsidP="00382F81">
            <w:pPr>
              <w:tabs>
                <w:tab w:val="left" w:pos="285"/>
                <w:tab w:val="center" w:pos="598"/>
              </w:tabs>
              <w:suppressAutoHyphens/>
              <w:jc w:val="center"/>
              <w:rPr>
                <w:b/>
                <w:sz w:val="20"/>
              </w:rPr>
            </w:pPr>
            <w:r w:rsidRPr="007F4CAF">
              <w:rPr>
                <w:b/>
                <w:sz w:val="20"/>
              </w:rPr>
              <w:t>201</w:t>
            </w:r>
            <w:r w:rsidR="00CE22C8">
              <w:rPr>
                <w:b/>
                <w:sz w:val="20"/>
              </w:rPr>
              <w:t>4</w:t>
            </w:r>
            <w:r w:rsidRPr="007F4CAF">
              <w:rPr>
                <w:b/>
                <w:sz w:val="20"/>
              </w:rPr>
              <w:t xml:space="preserve"> Survey Estimated</w:t>
            </w:r>
          </w:p>
        </w:tc>
      </w:tr>
      <w:tr w:rsidR="00382F81" w:rsidRPr="007F4CAF" w14:paraId="0136F417" w14:textId="77777777" w:rsidTr="00382F81">
        <w:tc>
          <w:tcPr>
            <w:tcW w:w="1170" w:type="dxa"/>
            <w:vAlign w:val="bottom"/>
          </w:tcPr>
          <w:p w14:paraId="50923C83" w14:textId="77777777" w:rsidR="00382F81" w:rsidRPr="007F4CAF" w:rsidRDefault="00382F81" w:rsidP="00382F81">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r w:rsidRPr="007F4CAF">
              <w:rPr>
                <w:sz w:val="20"/>
              </w:rPr>
              <w:t>Outcome</w:t>
            </w:r>
          </w:p>
        </w:tc>
        <w:tc>
          <w:tcPr>
            <w:tcW w:w="3240" w:type="dxa"/>
            <w:vAlign w:val="bottom"/>
          </w:tcPr>
          <w:p w14:paraId="152854EB" w14:textId="77777777" w:rsidR="00382F81" w:rsidRPr="007F4CAF" w:rsidRDefault="00382F81" w:rsidP="00382F81">
            <w:pPr>
              <w:suppressAutoHyphens/>
              <w:rPr>
                <w:sz w:val="20"/>
                <w:vertAlign w:val="superscript"/>
              </w:rPr>
            </w:pPr>
            <w:r w:rsidRPr="007F4CAF">
              <w:rPr>
                <w:sz w:val="20"/>
              </w:rPr>
              <w:t>Percent employed one-year</w:t>
            </w:r>
            <w:r w:rsidR="00E33E4E">
              <w:rPr>
                <w:sz w:val="20"/>
              </w:rPr>
              <w:t xml:space="preserve"> </w:t>
            </w:r>
            <w:r w:rsidRPr="007F4CAF">
              <w:rPr>
                <w:sz w:val="20"/>
              </w:rPr>
              <w:t>after graduation</w:t>
            </w:r>
            <w:r w:rsidRPr="007F4CAF">
              <w:rPr>
                <w:sz w:val="20"/>
                <w:vertAlign w:val="superscript"/>
              </w:rPr>
              <w:t>2</w:t>
            </w:r>
          </w:p>
        </w:tc>
        <w:tc>
          <w:tcPr>
            <w:tcW w:w="990" w:type="dxa"/>
            <w:vAlign w:val="bottom"/>
          </w:tcPr>
          <w:p w14:paraId="474E815B" w14:textId="77777777" w:rsidR="00382F81" w:rsidRPr="007F4CAF" w:rsidRDefault="00CE22C8" w:rsidP="00382F81">
            <w:pPr>
              <w:suppressAutoHyphens/>
              <w:jc w:val="center"/>
              <w:rPr>
                <w:sz w:val="20"/>
              </w:rPr>
            </w:pPr>
            <w:r>
              <w:rPr>
                <w:sz w:val="20"/>
              </w:rPr>
              <w:t>94</w:t>
            </w:r>
            <w:r w:rsidR="00382F81" w:rsidRPr="007F4CAF">
              <w:rPr>
                <w:sz w:val="20"/>
              </w:rPr>
              <w:t>%</w:t>
            </w:r>
          </w:p>
        </w:tc>
        <w:tc>
          <w:tcPr>
            <w:tcW w:w="1170" w:type="dxa"/>
            <w:vAlign w:val="bottom"/>
          </w:tcPr>
          <w:p w14:paraId="29C54C90" w14:textId="77777777" w:rsidR="00382F81" w:rsidRPr="007F4CAF" w:rsidRDefault="00CE22C8" w:rsidP="00382F81">
            <w:pPr>
              <w:suppressAutoHyphens/>
              <w:jc w:val="center"/>
              <w:rPr>
                <w:sz w:val="20"/>
              </w:rPr>
            </w:pPr>
            <w:r>
              <w:rPr>
                <w:sz w:val="20"/>
              </w:rPr>
              <w:t>96</w:t>
            </w:r>
            <w:r w:rsidR="00382F81" w:rsidRPr="007F4CAF">
              <w:rPr>
                <w:sz w:val="20"/>
              </w:rPr>
              <w:t>%</w:t>
            </w:r>
          </w:p>
        </w:tc>
        <w:tc>
          <w:tcPr>
            <w:tcW w:w="1170" w:type="dxa"/>
            <w:vAlign w:val="bottom"/>
          </w:tcPr>
          <w:p w14:paraId="1116F540" w14:textId="77777777" w:rsidR="00382F81" w:rsidRPr="007F4CAF" w:rsidRDefault="00CE22C8" w:rsidP="00382F81">
            <w:pPr>
              <w:suppressAutoHyphens/>
              <w:jc w:val="center"/>
              <w:rPr>
                <w:sz w:val="20"/>
              </w:rPr>
            </w:pPr>
            <w:r>
              <w:rPr>
                <w:sz w:val="20"/>
              </w:rPr>
              <w:t>96</w:t>
            </w:r>
            <w:r w:rsidR="00382F81" w:rsidRPr="007F4CAF">
              <w:rPr>
                <w:sz w:val="20"/>
              </w:rPr>
              <w:t>%</w:t>
            </w:r>
          </w:p>
        </w:tc>
        <w:tc>
          <w:tcPr>
            <w:tcW w:w="1170" w:type="dxa"/>
            <w:vAlign w:val="bottom"/>
          </w:tcPr>
          <w:p w14:paraId="38CB4FEC" w14:textId="77777777" w:rsidR="00382F81" w:rsidRPr="007F4CAF" w:rsidRDefault="00CE22C8" w:rsidP="00382F81">
            <w:pPr>
              <w:tabs>
                <w:tab w:val="left" w:pos="285"/>
                <w:tab w:val="center" w:pos="598"/>
              </w:tabs>
              <w:suppressAutoHyphens/>
              <w:jc w:val="center"/>
              <w:rPr>
                <w:sz w:val="20"/>
              </w:rPr>
            </w:pPr>
            <w:r>
              <w:rPr>
                <w:sz w:val="20"/>
              </w:rPr>
              <w:t>95</w:t>
            </w:r>
            <w:r w:rsidR="00382F81" w:rsidRPr="007F4CAF">
              <w:rPr>
                <w:sz w:val="20"/>
              </w:rPr>
              <w:t>%</w:t>
            </w:r>
          </w:p>
        </w:tc>
        <w:tc>
          <w:tcPr>
            <w:tcW w:w="1170" w:type="dxa"/>
          </w:tcPr>
          <w:p w14:paraId="6AC5E8FF" w14:textId="77777777" w:rsidR="00382F81" w:rsidRPr="007F4CAF" w:rsidRDefault="00382F81" w:rsidP="00382F81">
            <w:pPr>
              <w:suppressAutoHyphens/>
              <w:jc w:val="center"/>
              <w:rPr>
                <w:sz w:val="20"/>
              </w:rPr>
            </w:pPr>
          </w:p>
          <w:p w14:paraId="45887DCA" w14:textId="77777777" w:rsidR="00382F81" w:rsidRPr="007F4CAF" w:rsidRDefault="001764D4" w:rsidP="00382F81">
            <w:pPr>
              <w:suppressAutoHyphens/>
              <w:jc w:val="center"/>
              <w:rPr>
                <w:sz w:val="20"/>
              </w:rPr>
            </w:pPr>
            <w:r>
              <w:rPr>
                <w:sz w:val="20"/>
              </w:rPr>
              <w:t>87</w:t>
            </w:r>
            <w:r w:rsidR="00382F81" w:rsidRPr="007F4CAF">
              <w:rPr>
                <w:sz w:val="20"/>
              </w:rPr>
              <w:t>%</w:t>
            </w:r>
          </w:p>
        </w:tc>
        <w:tc>
          <w:tcPr>
            <w:tcW w:w="1170" w:type="dxa"/>
            <w:vAlign w:val="bottom"/>
          </w:tcPr>
          <w:p w14:paraId="204E91AA" w14:textId="77777777" w:rsidR="00382F81" w:rsidRPr="007F4CAF" w:rsidRDefault="001764D4" w:rsidP="00382F81">
            <w:pPr>
              <w:suppressAutoHyphens/>
              <w:jc w:val="center"/>
              <w:rPr>
                <w:sz w:val="20"/>
              </w:rPr>
            </w:pPr>
            <w:r>
              <w:rPr>
                <w:sz w:val="20"/>
              </w:rPr>
              <w:t>95</w:t>
            </w:r>
            <w:r w:rsidR="00382F81" w:rsidRPr="007F4CAF">
              <w:rPr>
                <w:sz w:val="20"/>
              </w:rPr>
              <w:t>%</w:t>
            </w:r>
          </w:p>
        </w:tc>
      </w:tr>
    </w:tbl>
    <w:p w14:paraId="343EB4DA" w14:textId="77777777" w:rsidR="00382F81" w:rsidRDefault="00382F81" w:rsidP="00382F81">
      <w:pPr>
        <w:widowControl/>
        <w:tabs>
          <w:tab w:val="left" w:pos="1710"/>
        </w:tabs>
        <w:jc w:val="both"/>
        <w:rPr>
          <w:b/>
          <w:sz w:val="20"/>
        </w:rPr>
      </w:pPr>
    </w:p>
    <w:p w14:paraId="64ACE643" w14:textId="77777777" w:rsidR="002C1DFA" w:rsidRDefault="002C1DFA" w:rsidP="002C1DFA">
      <w:pPr>
        <w:tabs>
          <w:tab w:val="left" w:pos="1710"/>
          <w:tab w:val="right" w:pos="6030"/>
          <w:tab w:val="right" w:pos="7380"/>
          <w:tab w:val="right" w:pos="8550"/>
          <w:tab w:val="right" w:pos="9900"/>
          <w:tab w:val="right" w:pos="11610"/>
          <w:tab w:val="right" w:pos="12870"/>
        </w:tabs>
        <w:ind w:left="1710" w:hanging="1350"/>
        <w:rPr>
          <w:b/>
          <w:sz w:val="20"/>
        </w:rPr>
      </w:pPr>
    </w:p>
    <w:p w14:paraId="580A803A" w14:textId="77777777" w:rsidR="002C1DFA" w:rsidRDefault="002C1DFA" w:rsidP="002C1DFA">
      <w:pPr>
        <w:tabs>
          <w:tab w:val="left" w:pos="1710"/>
          <w:tab w:val="right" w:pos="6030"/>
          <w:tab w:val="right" w:pos="7380"/>
          <w:tab w:val="right" w:pos="8550"/>
          <w:tab w:val="right" w:pos="9900"/>
          <w:tab w:val="right" w:pos="11610"/>
          <w:tab w:val="right" w:pos="12870"/>
        </w:tabs>
        <w:ind w:left="1710" w:hanging="1350"/>
        <w:rPr>
          <w:b/>
          <w:bCs/>
          <w:sz w:val="20"/>
        </w:rPr>
      </w:pPr>
      <w:r>
        <w:rPr>
          <w:b/>
          <w:sz w:val="20"/>
        </w:rPr>
        <w:t>Objective 2.3</w:t>
      </w:r>
      <w:r>
        <w:rPr>
          <w:b/>
          <w:sz w:val="20"/>
        </w:rPr>
        <w:tab/>
      </w:r>
      <w:r>
        <w:rPr>
          <w:b/>
          <w:bCs/>
          <w:sz w:val="20"/>
        </w:rPr>
        <w:t xml:space="preserve"> </w:t>
      </w:r>
      <w:r w:rsidR="00EF10D6">
        <w:rPr>
          <w:sz w:val="20"/>
        </w:rPr>
        <w:t>The number of Teacher Education graduates will increase from 277 in FY 2009 to 286 in 2014.</w:t>
      </w:r>
    </w:p>
    <w:p w14:paraId="25E6182C" w14:textId="77777777" w:rsidR="002C1DFA" w:rsidRDefault="002C1DFA" w:rsidP="00382F81">
      <w:pPr>
        <w:widowControl/>
        <w:tabs>
          <w:tab w:val="left" w:pos="1710"/>
        </w:tabs>
        <w:jc w:val="both"/>
        <w:rPr>
          <w:b/>
          <w:sz w:val="20"/>
        </w:rPr>
      </w:pPr>
    </w:p>
    <w:tbl>
      <w:tblPr>
        <w:tblW w:w="11250" w:type="dxa"/>
        <w:tblInd w:w="468" w:type="dxa"/>
        <w:tblLayout w:type="fixed"/>
        <w:tblLook w:val="0000" w:firstRow="0" w:lastRow="0" w:firstColumn="0" w:lastColumn="0" w:noHBand="0" w:noVBand="0"/>
      </w:tblPr>
      <w:tblGrid>
        <w:gridCol w:w="1170"/>
        <w:gridCol w:w="3060"/>
        <w:gridCol w:w="1170"/>
        <w:gridCol w:w="1170"/>
        <w:gridCol w:w="1170"/>
        <w:gridCol w:w="1170"/>
        <w:gridCol w:w="1170"/>
        <w:gridCol w:w="1170"/>
      </w:tblGrid>
      <w:tr w:rsidR="0035631A" w:rsidRPr="00986C2B" w14:paraId="6831797D" w14:textId="77777777" w:rsidTr="0035631A">
        <w:tblPrEx>
          <w:tblCellMar>
            <w:top w:w="0" w:type="dxa"/>
            <w:bottom w:w="0" w:type="dxa"/>
          </w:tblCellMar>
        </w:tblPrEx>
        <w:tc>
          <w:tcPr>
            <w:tcW w:w="4230" w:type="dxa"/>
            <w:gridSpan w:val="2"/>
            <w:vAlign w:val="bottom"/>
          </w:tcPr>
          <w:p w14:paraId="073A276E" w14:textId="77777777" w:rsidR="0035631A" w:rsidRPr="00B41629" w:rsidRDefault="0035631A" w:rsidP="002C1DFA">
            <w:pPr>
              <w:suppressAutoHyphens/>
              <w:rPr>
                <w:b/>
                <w:bCs/>
                <w:sz w:val="20"/>
              </w:rPr>
            </w:pPr>
            <w:r>
              <w:rPr>
                <w:b/>
                <w:bCs/>
                <w:sz w:val="20"/>
              </w:rPr>
              <w:t>Performance Measures</w:t>
            </w:r>
          </w:p>
        </w:tc>
        <w:tc>
          <w:tcPr>
            <w:tcW w:w="1170" w:type="dxa"/>
            <w:vAlign w:val="bottom"/>
          </w:tcPr>
          <w:p w14:paraId="5D075976" w14:textId="77777777" w:rsidR="0035631A" w:rsidRPr="00B41629" w:rsidRDefault="0035631A" w:rsidP="002C1DFA">
            <w:pPr>
              <w:tabs>
                <w:tab w:val="left" w:pos="285"/>
                <w:tab w:val="center" w:pos="598"/>
              </w:tabs>
              <w:suppressAutoHyphens/>
              <w:jc w:val="center"/>
              <w:rPr>
                <w:b/>
                <w:sz w:val="20"/>
              </w:rPr>
            </w:pPr>
            <w:r>
              <w:rPr>
                <w:b/>
                <w:sz w:val="20"/>
              </w:rPr>
              <w:t xml:space="preserve">2009 </w:t>
            </w:r>
            <w:r w:rsidRPr="003A2144">
              <w:rPr>
                <w:b/>
                <w:sz w:val="20"/>
              </w:rPr>
              <w:t>Actual</w:t>
            </w:r>
          </w:p>
        </w:tc>
        <w:tc>
          <w:tcPr>
            <w:tcW w:w="1170" w:type="dxa"/>
            <w:vAlign w:val="bottom"/>
          </w:tcPr>
          <w:p w14:paraId="7DFFEE0A" w14:textId="77777777" w:rsidR="0035631A" w:rsidRPr="00B41629" w:rsidRDefault="0035631A" w:rsidP="002C1DFA">
            <w:pPr>
              <w:tabs>
                <w:tab w:val="left" w:pos="285"/>
                <w:tab w:val="center" w:pos="598"/>
              </w:tabs>
              <w:suppressAutoHyphens/>
              <w:jc w:val="center"/>
              <w:rPr>
                <w:b/>
                <w:sz w:val="20"/>
              </w:rPr>
            </w:pPr>
            <w:r>
              <w:rPr>
                <w:b/>
                <w:sz w:val="20"/>
              </w:rPr>
              <w:t xml:space="preserve">2010 </w:t>
            </w:r>
            <w:r w:rsidRPr="003A2144">
              <w:rPr>
                <w:b/>
                <w:sz w:val="20"/>
              </w:rPr>
              <w:t>Actual</w:t>
            </w:r>
          </w:p>
        </w:tc>
        <w:tc>
          <w:tcPr>
            <w:tcW w:w="1170" w:type="dxa"/>
          </w:tcPr>
          <w:p w14:paraId="5E5BDE3B" w14:textId="77777777" w:rsidR="0035631A" w:rsidRDefault="0035631A" w:rsidP="002C1DFA">
            <w:pPr>
              <w:tabs>
                <w:tab w:val="left" w:pos="285"/>
                <w:tab w:val="center" w:pos="598"/>
              </w:tabs>
              <w:suppressAutoHyphens/>
              <w:jc w:val="center"/>
              <w:rPr>
                <w:b/>
                <w:sz w:val="20"/>
              </w:rPr>
            </w:pPr>
            <w:r>
              <w:rPr>
                <w:b/>
                <w:sz w:val="20"/>
              </w:rPr>
              <w:t>2011</w:t>
            </w:r>
            <w:r w:rsidRPr="00986C2B">
              <w:rPr>
                <w:b/>
                <w:sz w:val="20"/>
              </w:rPr>
              <w:t xml:space="preserve"> </w:t>
            </w:r>
          </w:p>
          <w:p w14:paraId="05696D28" w14:textId="77777777" w:rsidR="0035631A" w:rsidRPr="00986C2B" w:rsidRDefault="0035631A" w:rsidP="002C1DFA">
            <w:pPr>
              <w:tabs>
                <w:tab w:val="left" w:pos="285"/>
                <w:tab w:val="center" w:pos="598"/>
              </w:tabs>
              <w:suppressAutoHyphens/>
              <w:jc w:val="center"/>
              <w:rPr>
                <w:b/>
                <w:sz w:val="20"/>
              </w:rPr>
            </w:pPr>
            <w:r>
              <w:rPr>
                <w:b/>
                <w:sz w:val="20"/>
              </w:rPr>
              <w:t>Actual</w:t>
            </w:r>
          </w:p>
        </w:tc>
        <w:tc>
          <w:tcPr>
            <w:tcW w:w="1170" w:type="dxa"/>
          </w:tcPr>
          <w:p w14:paraId="388D4457" w14:textId="77777777" w:rsidR="0035631A" w:rsidRDefault="0035631A" w:rsidP="002C1DFA">
            <w:pPr>
              <w:tabs>
                <w:tab w:val="left" w:pos="285"/>
                <w:tab w:val="center" w:pos="598"/>
              </w:tabs>
              <w:suppressAutoHyphens/>
              <w:jc w:val="center"/>
              <w:rPr>
                <w:b/>
                <w:sz w:val="20"/>
              </w:rPr>
            </w:pPr>
            <w:r>
              <w:rPr>
                <w:b/>
                <w:sz w:val="20"/>
              </w:rPr>
              <w:t>2012</w:t>
            </w:r>
            <w:r w:rsidRPr="00986C2B">
              <w:rPr>
                <w:b/>
                <w:sz w:val="20"/>
              </w:rPr>
              <w:t xml:space="preserve"> </w:t>
            </w:r>
          </w:p>
          <w:p w14:paraId="1E8388E9" w14:textId="77777777" w:rsidR="0035631A" w:rsidRPr="00986C2B" w:rsidRDefault="00C3349D" w:rsidP="002C1DFA">
            <w:pPr>
              <w:tabs>
                <w:tab w:val="left" w:pos="285"/>
                <w:tab w:val="center" w:pos="598"/>
              </w:tabs>
              <w:suppressAutoHyphens/>
              <w:jc w:val="center"/>
              <w:rPr>
                <w:b/>
                <w:sz w:val="20"/>
              </w:rPr>
            </w:pPr>
            <w:r>
              <w:rPr>
                <w:b/>
                <w:sz w:val="20"/>
              </w:rPr>
              <w:t>Actual</w:t>
            </w:r>
          </w:p>
        </w:tc>
        <w:tc>
          <w:tcPr>
            <w:tcW w:w="1170" w:type="dxa"/>
          </w:tcPr>
          <w:p w14:paraId="37281B2D" w14:textId="77777777" w:rsidR="0035631A" w:rsidRDefault="0035631A" w:rsidP="00090115">
            <w:pPr>
              <w:tabs>
                <w:tab w:val="left" w:pos="285"/>
                <w:tab w:val="center" w:pos="598"/>
              </w:tabs>
              <w:suppressAutoHyphens/>
              <w:jc w:val="center"/>
              <w:rPr>
                <w:b/>
                <w:sz w:val="20"/>
              </w:rPr>
            </w:pPr>
            <w:r>
              <w:rPr>
                <w:b/>
                <w:sz w:val="20"/>
              </w:rPr>
              <w:t>2013 Estimated</w:t>
            </w:r>
          </w:p>
        </w:tc>
        <w:tc>
          <w:tcPr>
            <w:tcW w:w="1170" w:type="dxa"/>
          </w:tcPr>
          <w:p w14:paraId="18A76099" w14:textId="77777777" w:rsidR="0035631A" w:rsidRDefault="0035631A" w:rsidP="00090115">
            <w:pPr>
              <w:tabs>
                <w:tab w:val="left" w:pos="285"/>
                <w:tab w:val="center" w:pos="598"/>
              </w:tabs>
              <w:suppressAutoHyphens/>
              <w:jc w:val="center"/>
              <w:rPr>
                <w:b/>
                <w:sz w:val="20"/>
              </w:rPr>
            </w:pPr>
            <w:r>
              <w:rPr>
                <w:b/>
                <w:sz w:val="20"/>
              </w:rPr>
              <w:t>2014 Estimated</w:t>
            </w:r>
          </w:p>
        </w:tc>
      </w:tr>
      <w:tr w:rsidR="0035631A" w:rsidRPr="00121EC8" w14:paraId="62E0B8CC" w14:textId="77777777" w:rsidTr="0035631A">
        <w:tblPrEx>
          <w:tblCellMar>
            <w:top w:w="0" w:type="dxa"/>
            <w:bottom w:w="0" w:type="dxa"/>
          </w:tblCellMar>
        </w:tblPrEx>
        <w:tc>
          <w:tcPr>
            <w:tcW w:w="1170" w:type="dxa"/>
          </w:tcPr>
          <w:p w14:paraId="4D0E9B2F" w14:textId="77777777" w:rsidR="0035631A" w:rsidRDefault="0035631A" w:rsidP="002C1DFA">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r>
              <w:rPr>
                <w:sz w:val="20"/>
              </w:rPr>
              <w:t>Input</w:t>
            </w:r>
          </w:p>
        </w:tc>
        <w:tc>
          <w:tcPr>
            <w:tcW w:w="3060" w:type="dxa"/>
            <w:vAlign w:val="bottom"/>
          </w:tcPr>
          <w:p w14:paraId="44642DB2" w14:textId="77777777" w:rsidR="0035631A" w:rsidRPr="00BA3780" w:rsidRDefault="0035631A" w:rsidP="00BA3780">
            <w:pPr>
              <w:suppressAutoHyphens/>
              <w:rPr>
                <w:sz w:val="20"/>
                <w:vertAlign w:val="superscript"/>
              </w:rPr>
            </w:pPr>
            <w:r>
              <w:rPr>
                <w:sz w:val="20"/>
              </w:rPr>
              <w:t>The number of Teacher education enrollments</w:t>
            </w:r>
            <w:r>
              <w:rPr>
                <w:sz w:val="20"/>
                <w:vertAlign w:val="superscript"/>
              </w:rPr>
              <w:t>3</w:t>
            </w:r>
          </w:p>
        </w:tc>
        <w:tc>
          <w:tcPr>
            <w:tcW w:w="1170" w:type="dxa"/>
            <w:vAlign w:val="bottom"/>
          </w:tcPr>
          <w:p w14:paraId="5239D46A" w14:textId="77777777" w:rsidR="0035631A" w:rsidRPr="008E7616" w:rsidRDefault="0035631A" w:rsidP="002C1DFA">
            <w:pPr>
              <w:suppressAutoHyphens/>
              <w:jc w:val="center"/>
              <w:rPr>
                <w:sz w:val="20"/>
              </w:rPr>
            </w:pPr>
            <w:r>
              <w:rPr>
                <w:sz w:val="20"/>
              </w:rPr>
              <w:t>1165</w:t>
            </w:r>
          </w:p>
        </w:tc>
        <w:tc>
          <w:tcPr>
            <w:tcW w:w="1170" w:type="dxa"/>
            <w:vAlign w:val="bottom"/>
          </w:tcPr>
          <w:p w14:paraId="0F96BCAE" w14:textId="77777777" w:rsidR="0035631A" w:rsidRPr="00747A5B" w:rsidRDefault="0035631A" w:rsidP="002C1DFA">
            <w:pPr>
              <w:tabs>
                <w:tab w:val="left" w:pos="285"/>
                <w:tab w:val="center" w:pos="598"/>
              </w:tabs>
              <w:suppressAutoHyphens/>
              <w:jc w:val="center"/>
              <w:rPr>
                <w:sz w:val="20"/>
              </w:rPr>
            </w:pPr>
            <w:r>
              <w:rPr>
                <w:sz w:val="20"/>
              </w:rPr>
              <w:t>1339</w:t>
            </w:r>
          </w:p>
        </w:tc>
        <w:tc>
          <w:tcPr>
            <w:tcW w:w="1170" w:type="dxa"/>
          </w:tcPr>
          <w:p w14:paraId="24D10E58" w14:textId="77777777" w:rsidR="0035631A" w:rsidRDefault="0035631A" w:rsidP="002C1DFA">
            <w:pPr>
              <w:suppressAutoHyphens/>
              <w:jc w:val="center"/>
              <w:rPr>
                <w:sz w:val="20"/>
              </w:rPr>
            </w:pPr>
          </w:p>
          <w:p w14:paraId="0320031D" w14:textId="77777777" w:rsidR="0035631A" w:rsidRPr="00413B5D" w:rsidRDefault="00C3349D" w:rsidP="002C1DFA">
            <w:pPr>
              <w:suppressAutoHyphens/>
              <w:jc w:val="center"/>
              <w:rPr>
                <w:color w:val="548DD4"/>
                <w:sz w:val="20"/>
              </w:rPr>
            </w:pPr>
            <w:r w:rsidRPr="00413B5D">
              <w:rPr>
                <w:color w:val="548DD4"/>
                <w:sz w:val="20"/>
              </w:rPr>
              <w:t>1395</w:t>
            </w:r>
          </w:p>
        </w:tc>
        <w:tc>
          <w:tcPr>
            <w:tcW w:w="1170" w:type="dxa"/>
            <w:vAlign w:val="bottom"/>
          </w:tcPr>
          <w:p w14:paraId="7E242B66" w14:textId="77777777" w:rsidR="0035631A" w:rsidRPr="00824D96" w:rsidRDefault="0035631A" w:rsidP="002C1DFA">
            <w:pPr>
              <w:suppressAutoHyphens/>
              <w:jc w:val="center"/>
              <w:rPr>
                <w:sz w:val="20"/>
              </w:rPr>
            </w:pPr>
            <w:r w:rsidRPr="00824D96">
              <w:rPr>
                <w:sz w:val="20"/>
              </w:rPr>
              <w:t>1</w:t>
            </w:r>
            <w:r>
              <w:rPr>
                <w:sz w:val="20"/>
              </w:rPr>
              <w:t>4</w:t>
            </w:r>
            <w:r w:rsidR="00C3349D">
              <w:rPr>
                <w:sz w:val="20"/>
              </w:rPr>
              <w:t>07</w:t>
            </w:r>
          </w:p>
        </w:tc>
        <w:tc>
          <w:tcPr>
            <w:tcW w:w="1170" w:type="dxa"/>
            <w:vAlign w:val="bottom"/>
          </w:tcPr>
          <w:p w14:paraId="4CA1ED47" w14:textId="77777777" w:rsidR="0035631A" w:rsidRPr="000D7FE4" w:rsidRDefault="0035631A" w:rsidP="000D7FE4">
            <w:pPr>
              <w:suppressAutoHyphens/>
              <w:jc w:val="center"/>
              <w:rPr>
                <w:sz w:val="20"/>
              </w:rPr>
            </w:pPr>
            <w:r w:rsidRPr="000D7FE4">
              <w:rPr>
                <w:sz w:val="20"/>
              </w:rPr>
              <w:t>1</w:t>
            </w:r>
            <w:r w:rsidR="000D7FE4" w:rsidRPr="000D7FE4">
              <w:rPr>
                <w:sz w:val="20"/>
              </w:rPr>
              <w:t>348</w:t>
            </w:r>
          </w:p>
        </w:tc>
        <w:tc>
          <w:tcPr>
            <w:tcW w:w="1170" w:type="dxa"/>
          </w:tcPr>
          <w:p w14:paraId="7B18AC0F" w14:textId="77777777" w:rsidR="0035631A" w:rsidRDefault="0035631A" w:rsidP="00824D96">
            <w:pPr>
              <w:suppressAutoHyphens/>
              <w:jc w:val="center"/>
              <w:rPr>
                <w:sz w:val="20"/>
              </w:rPr>
            </w:pPr>
          </w:p>
          <w:p w14:paraId="7C8DB188" w14:textId="77777777" w:rsidR="000D7FE4" w:rsidRPr="00824D96" w:rsidRDefault="000D7FE4" w:rsidP="00824D96">
            <w:pPr>
              <w:suppressAutoHyphens/>
              <w:jc w:val="center"/>
              <w:rPr>
                <w:sz w:val="20"/>
              </w:rPr>
            </w:pPr>
            <w:r>
              <w:rPr>
                <w:sz w:val="20"/>
              </w:rPr>
              <w:t>1429</w:t>
            </w:r>
          </w:p>
        </w:tc>
      </w:tr>
      <w:tr w:rsidR="0035631A" w:rsidRPr="00B41629" w14:paraId="0551F5F7" w14:textId="77777777" w:rsidTr="0035631A">
        <w:tblPrEx>
          <w:tblCellMar>
            <w:top w:w="0" w:type="dxa"/>
            <w:bottom w:w="0" w:type="dxa"/>
          </w:tblCellMar>
        </w:tblPrEx>
        <w:tc>
          <w:tcPr>
            <w:tcW w:w="4230" w:type="dxa"/>
            <w:gridSpan w:val="2"/>
            <w:vAlign w:val="bottom"/>
          </w:tcPr>
          <w:p w14:paraId="621E56D4" w14:textId="77777777" w:rsidR="0035631A" w:rsidRPr="00B41629" w:rsidRDefault="0035631A" w:rsidP="006441A6">
            <w:pPr>
              <w:suppressAutoHyphens/>
              <w:rPr>
                <w:b/>
                <w:bCs/>
                <w:sz w:val="20"/>
              </w:rPr>
            </w:pPr>
          </w:p>
        </w:tc>
        <w:tc>
          <w:tcPr>
            <w:tcW w:w="1170" w:type="dxa"/>
            <w:vAlign w:val="bottom"/>
          </w:tcPr>
          <w:p w14:paraId="40F5F25C" w14:textId="77777777" w:rsidR="0035631A" w:rsidRPr="00B41629" w:rsidRDefault="0035631A" w:rsidP="0027477C">
            <w:pPr>
              <w:tabs>
                <w:tab w:val="left" w:pos="285"/>
                <w:tab w:val="center" w:pos="598"/>
              </w:tabs>
              <w:suppressAutoHyphens/>
              <w:jc w:val="center"/>
              <w:rPr>
                <w:b/>
                <w:sz w:val="20"/>
              </w:rPr>
            </w:pPr>
          </w:p>
        </w:tc>
        <w:tc>
          <w:tcPr>
            <w:tcW w:w="1170" w:type="dxa"/>
            <w:vAlign w:val="bottom"/>
          </w:tcPr>
          <w:p w14:paraId="365F8A1D" w14:textId="77777777" w:rsidR="0035631A" w:rsidRPr="00B41629" w:rsidRDefault="0035631A" w:rsidP="0027477C">
            <w:pPr>
              <w:tabs>
                <w:tab w:val="left" w:pos="285"/>
                <w:tab w:val="center" w:pos="598"/>
              </w:tabs>
              <w:suppressAutoHyphens/>
              <w:jc w:val="center"/>
              <w:rPr>
                <w:b/>
                <w:sz w:val="20"/>
              </w:rPr>
            </w:pPr>
          </w:p>
        </w:tc>
        <w:tc>
          <w:tcPr>
            <w:tcW w:w="1170" w:type="dxa"/>
          </w:tcPr>
          <w:p w14:paraId="0A425A72" w14:textId="77777777" w:rsidR="0035631A" w:rsidRPr="00986C2B" w:rsidRDefault="0035631A" w:rsidP="00C238B5">
            <w:pPr>
              <w:tabs>
                <w:tab w:val="left" w:pos="285"/>
                <w:tab w:val="center" w:pos="598"/>
              </w:tabs>
              <w:suppressAutoHyphens/>
              <w:jc w:val="center"/>
              <w:rPr>
                <w:b/>
                <w:sz w:val="20"/>
              </w:rPr>
            </w:pPr>
          </w:p>
        </w:tc>
        <w:tc>
          <w:tcPr>
            <w:tcW w:w="1170" w:type="dxa"/>
          </w:tcPr>
          <w:p w14:paraId="2E948E13" w14:textId="77777777" w:rsidR="0035631A" w:rsidRPr="00824D96" w:rsidRDefault="0035631A" w:rsidP="00C238B5">
            <w:pPr>
              <w:tabs>
                <w:tab w:val="left" w:pos="285"/>
                <w:tab w:val="center" w:pos="598"/>
              </w:tabs>
              <w:suppressAutoHyphens/>
              <w:jc w:val="center"/>
              <w:rPr>
                <w:b/>
                <w:sz w:val="20"/>
              </w:rPr>
            </w:pPr>
          </w:p>
        </w:tc>
        <w:tc>
          <w:tcPr>
            <w:tcW w:w="1170" w:type="dxa"/>
          </w:tcPr>
          <w:p w14:paraId="141B2D65" w14:textId="77777777" w:rsidR="0035631A" w:rsidRPr="00824D96" w:rsidRDefault="0035631A" w:rsidP="00824D96">
            <w:pPr>
              <w:tabs>
                <w:tab w:val="left" w:pos="285"/>
                <w:tab w:val="center" w:pos="598"/>
              </w:tabs>
              <w:suppressAutoHyphens/>
              <w:rPr>
                <w:b/>
                <w:sz w:val="20"/>
              </w:rPr>
            </w:pPr>
          </w:p>
        </w:tc>
        <w:tc>
          <w:tcPr>
            <w:tcW w:w="1170" w:type="dxa"/>
          </w:tcPr>
          <w:p w14:paraId="71A941E6" w14:textId="77777777" w:rsidR="0035631A" w:rsidRPr="00824D96" w:rsidRDefault="0035631A" w:rsidP="00824D96">
            <w:pPr>
              <w:tabs>
                <w:tab w:val="left" w:pos="285"/>
                <w:tab w:val="center" w:pos="598"/>
              </w:tabs>
              <w:suppressAutoHyphens/>
              <w:rPr>
                <w:b/>
                <w:sz w:val="20"/>
              </w:rPr>
            </w:pPr>
          </w:p>
        </w:tc>
      </w:tr>
      <w:tr w:rsidR="0035631A" w14:paraId="197A6003" w14:textId="77777777" w:rsidTr="0035631A">
        <w:tblPrEx>
          <w:tblCellMar>
            <w:top w:w="0" w:type="dxa"/>
            <w:bottom w:w="0" w:type="dxa"/>
          </w:tblCellMar>
        </w:tblPrEx>
        <w:tc>
          <w:tcPr>
            <w:tcW w:w="1170" w:type="dxa"/>
          </w:tcPr>
          <w:p w14:paraId="3455BD4D" w14:textId="77777777" w:rsidR="0035631A" w:rsidRDefault="0035631A" w:rsidP="00EF10D6">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r>
              <w:rPr>
                <w:sz w:val="20"/>
              </w:rPr>
              <w:t>Output</w:t>
            </w:r>
          </w:p>
        </w:tc>
        <w:tc>
          <w:tcPr>
            <w:tcW w:w="3060" w:type="dxa"/>
            <w:vAlign w:val="bottom"/>
          </w:tcPr>
          <w:p w14:paraId="584C1221" w14:textId="77777777" w:rsidR="0035631A" w:rsidRDefault="0035631A" w:rsidP="002B2C8F">
            <w:pPr>
              <w:suppressAutoHyphens/>
              <w:rPr>
                <w:sz w:val="20"/>
                <w:vertAlign w:val="superscript"/>
              </w:rPr>
            </w:pPr>
            <w:r>
              <w:rPr>
                <w:sz w:val="20"/>
              </w:rPr>
              <w:t xml:space="preserve">The number of Teacher education graduates </w:t>
            </w:r>
          </w:p>
        </w:tc>
        <w:tc>
          <w:tcPr>
            <w:tcW w:w="1170" w:type="dxa"/>
          </w:tcPr>
          <w:p w14:paraId="7960700D" w14:textId="77777777" w:rsidR="0035631A" w:rsidRPr="008E7616" w:rsidRDefault="0035631A" w:rsidP="00F47891">
            <w:pPr>
              <w:suppressAutoHyphens/>
              <w:jc w:val="center"/>
              <w:rPr>
                <w:sz w:val="20"/>
              </w:rPr>
            </w:pPr>
            <w:r>
              <w:rPr>
                <w:sz w:val="20"/>
              </w:rPr>
              <w:t>277</w:t>
            </w:r>
          </w:p>
        </w:tc>
        <w:tc>
          <w:tcPr>
            <w:tcW w:w="1170" w:type="dxa"/>
          </w:tcPr>
          <w:p w14:paraId="03B78A6D" w14:textId="77777777" w:rsidR="0035631A" w:rsidRPr="00747A5B" w:rsidRDefault="0035631A" w:rsidP="00F47891">
            <w:pPr>
              <w:tabs>
                <w:tab w:val="left" w:pos="285"/>
                <w:tab w:val="center" w:pos="598"/>
              </w:tabs>
              <w:suppressAutoHyphens/>
              <w:jc w:val="center"/>
              <w:rPr>
                <w:sz w:val="20"/>
              </w:rPr>
            </w:pPr>
            <w:r>
              <w:rPr>
                <w:sz w:val="20"/>
              </w:rPr>
              <w:t>264</w:t>
            </w:r>
          </w:p>
        </w:tc>
        <w:tc>
          <w:tcPr>
            <w:tcW w:w="1170" w:type="dxa"/>
          </w:tcPr>
          <w:p w14:paraId="33463A0F" w14:textId="77777777" w:rsidR="0035631A" w:rsidRPr="000B1917" w:rsidRDefault="0035631A" w:rsidP="00F47891">
            <w:pPr>
              <w:suppressAutoHyphens/>
              <w:jc w:val="center"/>
              <w:rPr>
                <w:sz w:val="20"/>
              </w:rPr>
            </w:pPr>
            <w:r>
              <w:rPr>
                <w:sz w:val="20"/>
              </w:rPr>
              <w:t>276</w:t>
            </w:r>
          </w:p>
        </w:tc>
        <w:tc>
          <w:tcPr>
            <w:tcW w:w="1170" w:type="dxa"/>
          </w:tcPr>
          <w:p w14:paraId="282E2FB6" w14:textId="77777777" w:rsidR="0035631A" w:rsidRPr="00B936C1" w:rsidRDefault="00C3349D" w:rsidP="00F47891">
            <w:pPr>
              <w:suppressAutoHyphens/>
              <w:jc w:val="center"/>
              <w:rPr>
                <w:sz w:val="20"/>
              </w:rPr>
            </w:pPr>
            <w:r>
              <w:rPr>
                <w:sz w:val="20"/>
              </w:rPr>
              <w:t>291</w:t>
            </w:r>
          </w:p>
        </w:tc>
        <w:tc>
          <w:tcPr>
            <w:tcW w:w="1170" w:type="dxa"/>
          </w:tcPr>
          <w:p w14:paraId="0EE91FEE" w14:textId="77777777" w:rsidR="0035631A" w:rsidRPr="00B936C1" w:rsidRDefault="00C3349D" w:rsidP="00F47891">
            <w:pPr>
              <w:suppressAutoHyphens/>
              <w:jc w:val="center"/>
              <w:rPr>
                <w:sz w:val="20"/>
              </w:rPr>
            </w:pPr>
            <w:r>
              <w:rPr>
                <w:sz w:val="20"/>
              </w:rPr>
              <w:t>299</w:t>
            </w:r>
          </w:p>
        </w:tc>
        <w:tc>
          <w:tcPr>
            <w:tcW w:w="1170" w:type="dxa"/>
          </w:tcPr>
          <w:p w14:paraId="207A9387" w14:textId="77777777" w:rsidR="0035631A" w:rsidRPr="00B936C1" w:rsidRDefault="00D34B40" w:rsidP="00F47891">
            <w:pPr>
              <w:suppressAutoHyphens/>
              <w:jc w:val="center"/>
              <w:rPr>
                <w:sz w:val="20"/>
              </w:rPr>
            </w:pPr>
            <w:r>
              <w:rPr>
                <w:sz w:val="20"/>
              </w:rPr>
              <w:t>300</w:t>
            </w:r>
          </w:p>
        </w:tc>
      </w:tr>
    </w:tbl>
    <w:p w14:paraId="06C20EE3" w14:textId="77777777" w:rsidR="00546C9C" w:rsidRDefault="00546C9C" w:rsidP="00782455">
      <w:pPr>
        <w:widowControl/>
        <w:tabs>
          <w:tab w:val="left" w:pos="1710"/>
        </w:tabs>
        <w:jc w:val="both"/>
        <w:rPr>
          <w:b/>
          <w:sz w:val="20"/>
        </w:rPr>
      </w:pPr>
    </w:p>
    <w:p w14:paraId="5DC1CBFE" w14:textId="77777777" w:rsidR="00870FA3" w:rsidRDefault="00870FA3" w:rsidP="00782455">
      <w:pPr>
        <w:widowControl/>
        <w:tabs>
          <w:tab w:val="left" w:pos="1710"/>
        </w:tabs>
        <w:jc w:val="both"/>
        <w:rPr>
          <w:b/>
          <w:sz w:val="20"/>
        </w:rPr>
      </w:pPr>
    </w:p>
    <w:p w14:paraId="6EBBAB95" w14:textId="77777777" w:rsidR="00F47891" w:rsidRPr="00A57C38" w:rsidRDefault="00F47891" w:rsidP="00F47891">
      <w:pPr>
        <w:widowControl/>
        <w:tabs>
          <w:tab w:val="left" w:pos="1710"/>
        </w:tabs>
        <w:ind w:left="1710" w:hanging="1350"/>
        <w:jc w:val="both"/>
        <w:rPr>
          <w:sz w:val="20"/>
        </w:rPr>
      </w:pPr>
      <w:r>
        <w:rPr>
          <w:b/>
          <w:sz w:val="20"/>
        </w:rPr>
        <w:br w:type="page"/>
      </w:r>
      <w:r w:rsidR="002C1DFA">
        <w:rPr>
          <w:b/>
          <w:sz w:val="20"/>
        </w:rPr>
        <w:lastRenderedPageBreak/>
        <w:t>Objective 2.</w:t>
      </w:r>
      <w:r>
        <w:rPr>
          <w:b/>
          <w:sz w:val="20"/>
        </w:rPr>
        <w:t>4</w:t>
      </w:r>
      <w:r w:rsidR="002C1DFA" w:rsidRPr="00870FA3">
        <w:rPr>
          <w:color w:val="FF0000"/>
          <w:sz w:val="20"/>
        </w:rPr>
        <w:tab/>
      </w:r>
      <w:r w:rsidRPr="00A57C38">
        <w:rPr>
          <w:sz w:val="20"/>
        </w:rPr>
        <w:t xml:space="preserve">The number of graduates in STEM-related fields will increase from </w:t>
      </w:r>
      <w:r w:rsidR="00483AF8">
        <w:rPr>
          <w:sz w:val="20"/>
        </w:rPr>
        <w:t>225</w:t>
      </w:r>
      <w:r w:rsidRPr="00A57C38">
        <w:rPr>
          <w:sz w:val="20"/>
        </w:rPr>
        <w:t xml:space="preserve"> in 2009 to</w:t>
      </w:r>
      <w:r w:rsidR="002F60C5">
        <w:rPr>
          <w:sz w:val="20"/>
        </w:rPr>
        <w:t xml:space="preserve"> 250</w:t>
      </w:r>
      <w:r w:rsidRPr="00A57C38">
        <w:rPr>
          <w:sz w:val="20"/>
        </w:rPr>
        <w:t xml:space="preserve"> in 2014. </w:t>
      </w:r>
    </w:p>
    <w:p w14:paraId="30B26AF1" w14:textId="77777777" w:rsidR="002C1DFA" w:rsidRPr="00A57C38" w:rsidRDefault="002C1DFA" w:rsidP="002C1DFA">
      <w:pPr>
        <w:widowControl/>
        <w:tabs>
          <w:tab w:val="left" w:pos="1710"/>
        </w:tabs>
        <w:ind w:left="1710" w:hanging="1350"/>
        <w:jc w:val="both"/>
        <w:rPr>
          <w:sz w:val="20"/>
        </w:rPr>
      </w:pPr>
    </w:p>
    <w:p w14:paraId="47BD641C" w14:textId="77777777" w:rsidR="002C1DFA" w:rsidRPr="00A57C38" w:rsidRDefault="002C1DFA" w:rsidP="002C1DFA">
      <w:pPr>
        <w:tabs>
          <w:tab w:val="right" w:pos="6030"/>
          <w:tab w:val="right" w:pos="7380"/>
          <w:tab w:val="right" w:pos="8820"/>
          <w:tab w:val="right" w:pos="10170"/>
          <w:tab w:val="right" w:pos="11610"/>
          <w:tab w:val="right" w:pos="12870"/>
        </w:tabs>
        <w:ind w:left="720"/>
        <w:rPr>
          <w:b/>
          <w:bCs/>
          <w:sz w:val="20"/>
        </w:rPr>
      </w:pPr>
      <w:r w:rsidRPr="00A57C38">
        <w:rPr>
          <w:b/>
          <w:sz w:val="20"/>
        </w:rPr>
        <w:t xml:space="preserve"> </w:t>
      </w:r>
    </w:p>
    <w:tbl>
      <w:tblPr>
        <w:tblW w:w="11340" w:type="dxa"/>
        <w:tblInd w:w="468" w:type="dxa"/>
        <w:tblLayout w:type="fixed"/>
        <w:tblLook w:val="0000" w:firstRow="0" w:lastRow="0" w:firstColumn="0" w:lastColumn="0" w:noHBand="0" w:noVBand="0"/>
      </w:tblPr>
      <w:tblGrid>
        <w:gridCol w:w="1152"/>
        <w:gridCol w:w="3168"/>
        <w:gridCol w:w="1170"/>
        <w:gridCol w:w="1170"/>
        <w:gridCol w:w="1170"/>
        <w:gridCol w:w="1170"/>
        <w:gridCol w:w="1170"/>
        <w:gridCol w:w="1170"/>
      </w:tblGrid>
      <w:tr w:rsidR="0035631A" w:rsidRPr="00A57C38" w14:paraId="33559932" w14:textId="77777777" w:rsidTr="0035631A">
        <w:tblPrEx>
          <w:tblCellMar>
            <w:top w:w="0" w:type="dxa"/>
            <w:bottom w:w="0" w:type="dxa"/>
          </w:tblCellMar>
        </w:tblPrEx>
        <w:tc>
          <w:tcPr>
            <w:tcW w:w="4320" w:type="dxa"/>
            <w:gridSpan w:val="2"/>
            <w:vAlign w:val="bottom"/>
          </w:tcPr>
          <w:p w14:paraId="47B667BA" w14:textId="77777777" w:rsidR="0035631A" w:rsidRPr="00A57C38" w:rsidRDefault="0035631A" w:rsidP="002C1DFA">
            <w:pPr>
              <w:suppressAutoHyphens/>
              <w:rPr>
                <w:sz w:val="20"/>
              </w:rPr>
            </w:pPr>
            <w:r w:rsidRPr="00A57C38">
              <w:rPr>
                <w:b/>
                <w:bCs/>
                <w:sz w:val="20"/>
              </w:rPr>
              <w:t>Performance Measures</w:t>
            </w:r>
          </w:p>
        </w:tc>
        <w:tc>
          <w:tcPr>
            <w:tcW w:w="1170" w:type="dxa"/>
            <w:vAlign w:val="bottom"/>
          </w:tcPr>
          <w:p w14:paraId="3BB63771" w14:textId="77777777" w:rsidR="0035631A" w:rsidRPr="00A57C38" w:rsidRDefault="0035631A" w:rsidP="002C1DFA">
            <w:pPr>
              <w:tabs>
                <w:tab w:val="left" w:pos="285"/>
                <w:tab w:val="center" w:pos="598"/>
              </w:tabs>
              <w:suppressAutoHyphens/>
              <w:jc w:val="center"/>
              <w:rPr>
                <w:b/>
                <w:sz w:val="20"/>
              </w:rPr>
            </w:pPr>
            <w:r w:rsidRPr="00A57C38">
              <w:rPr>
                <w:b/>
                <w:sz w:val="20"/>
              </w:rPr>
              <w:t>2009 Actual</w:t>
            </w:r>
          </w:p>
        </w:tc>
        <w:tc>
          <w:tcPr>
            <w:tcW w:w="1170" w:type="dxa"/>
            <w:vAlign w:val="bottom"/>
          </w:tcPr>
          <w:p w14:paraId="5879C0F7" w14:textId="77777777" w:rsidR="0035631A" w:rsidRPr="00A57C38" w:rsidRDefault="0035631A" w:rsidP="002C1DFA">
            <w:pPr>
              <w:tabs>
                <w:tab w:val="left" w:pos="285"/>
                <w:tab w:val="center" w:pos="598"/>
              </w:tabs>
              <w:suppressAutoHyphens/>
              <w:jc w:val="center"/>
              <w:rPr>
                <w:b/>
                <w:sz w:val="20"/>
              </w:rPr>
            </w:pPr>
            <w:r w:rsidRPr="00A57C38">
              <w:rPr>
                <w:b/>
                <w:sz w:val="20"/>
              </w:rPr>
              <w:t>2010 Actual</w:t>
            </w:r>
          </w:p>
        </w:tc>
        <w:tc>
          <w:tcPr>
            <w:tcW w:w="1170" w:type="dxa"/>
          </w:tcPr>
          <w:p w14:paraId="51ECB88B" w14:textId="77777777" w:rsidR="0035631A" w:rsidRPr="00A57C38" w:rsidRDefault="0035631A" w:rsidP="00D9573D">
            <w:pPr>
              <w:tabs>
                <w:tab w:val="left" w:pos="285"/>
                <w:tab w:val="center" w:pos="598"/>
              </w:tabs>
              <w:suppressAutoHyphens/>
              <w:jc w:val="center"/>
              <w:rPr>
                <w:b/>
                <w:sz w:val="20"/>
              </w:rPr>
            </w:pPr>
            <w:r w:rsidRPr="00A57C38">
              <w:rPr>
                <w:b/>
                <w:sz w:val="20"/>
              </w:rPr>
              <w:t xml:space="preserve">2011 </w:t>
            </w:r>
            <w:r>
              <w:rPr>
                <w:b/>
                <w:sz w:val="20"/>
              </w:rPr>
              <w:t>Actual</w:t>
            </w:r>
          </w:p>
        </w:tc>
        <w:tc>
          <w:tcPr>
            <w:tcW w:w="1170" w:type="dxa"/>
          </w:tcPr>
          <w:p w14:paraId="01708D28" w14:textId="77777777" w:rsidR="0035631A" w:rsidRPr="00A57C38" w:rsidRDefault="0035631A" w:rsidP="00B81733">
            <w:pPr>
              <w:tabs>
                <w:tab w:val="left" w:pos="285"/>
                <w:tab w:val="center" w:pos="598"/>
              </w:tabs>
              <w:suppressAutoHyphens/>
              <w:jc w:val="center"/>
              <w:rPr>
                <w:b/>
                <w:sz w:val="20"/>
              </w:rPr>
            </w:pPr>
            <w:r w:rsidRPr="00A57C38">
              <w:rPr>
                <w:b/>
                <w:sz w:val="20"/>
              </w:rPr>
              <w:t xml:space="preserve">2012 </w:t>
            </w:r>
            <w:r w:rsidR="00B81733">
              <w:rPr>
                <w:b/>
                <w:sz w:val="20"/>
              </w:rPr>
              <w:t>Actual</w:t>
            </w:r>
          </w:p>
        </w:tc>
        <w:tc>
          <w:tcPr>
            <w:tcW w:w="1170" w:type="dxa"/>
          </w:tcPr>
          <w:p w14:paraId="55E3F725" w14:textId="77777777" w:rsidR="0035631A" w:rsidRDefault="0035631A" w:rsidP="00090115">
            <w:pPr>
              <w:tabs>
                <w:tab w:val="left" w:pos="285"/>
                <w:tab w:val="center" w:pos="598"/>
              </w:tabs>
              <w:suppressAutoHyphens/>
              <w:jc w:val="center"/>
              <w:rPr>
                <w:b/>
                <w:sz w:val="20"/>
              </w:rPr>
            </w:pPr>
            <w:r>
              <w:rPr>
                <w:b/>
                <w:sz w:val="20"/>
              </w:rPr>
              <w:t>2013 Estimated</w:t>
            </w:r>
          </w:p>
        </w:tc>
        <w:tc>
          <w:tcPr>
            <w:tcW w:w="1170" w:type="dxa"/>
          </w:tcPr>
          <w:p w14:paraId="258D2873" w14:textId="77777777" w:rsidR="0035631A" w:rsidRDefault="0035631A" w:rsidP="00090115">
            <w:pPr>
              <w:tabs>
                <w:tab w:val="left" w:pos="285"/>
                <w:tab w:val="center" w:pos="598"/>
              </w:tabs>
              <w:suppressAutoHyphens/>
              <w:jc w:val="center"/>
              <w:rPr>
                <w:b/>
                <w:sz w:val="20"/>
              </w:rPr>
            </w:pPr>
            <w:r>
              <w:rPr>
                <w:b/>
                <w:sz w:val="20"/>
              </w:rPr>
              <w:t>2014 Estimated</w:t>
            </w:r>
          </w:p>
        </w:tc>
      </w:tr>
      <w:tr w:rsidR="0035631A" w:rsidRPr="00A57C38" w14:paraId="39A01FDE" w14:textId="77777777" w:rsidTr="0035631A">
        <w:tblPrEx>
          <w:tblCellMar>
            <w:top w:w="0" w:type="dxa"/>
            <w:bottom w:w="0" w:type="dxa"/>
          </w:tblCellMar>
        </w:tblPrEx>
        <w:trPr>
          <w:trHeight w:val="405"/>
        </w:trPr>
        <w:tc>
          <w:tcPr>
            <w:tcW w:w="1152" w:type="dxa"/>
          </w:tcPr>
          <w:p w14:paraId="75E2EFB3" w14:textId="77777777" w:rsidR="0035631A" w:rsidRPr="00A57C38" w:rsidRDefault="0035631A" w:rsidP="002C1DFA">
            <w:pPr>
              <w:pStyle w:val="Heading4"/>
              <w:ind w:right="-46"/>
              <w:rPr>
                <w:sz w:val="20"/>
              </w:rPr>
            </w:pPr>
            <w:r>
              <w:rPr>
                <w:sz w:val="20"/>
              </w:rPr>
              <w:t>Input</w:t>
            </w:r>
          </w:p>
        </w:tc>
        <w:tc>
          <w:tcPr>
            <w:tcW w:w="3168" w:type="dxa"/>
          </w:tcPr>
          <w:p w14:paraId="1E128C62" w14:textId="77777777" w:rsidR="0035631A" w:rsidRPr="00A57C38" w:rsidRDefault="0035631A" w:rsidP="00BA3780">
            <w:pPr>
              <w:pStyle w:val="Heading4"/>
              <w:ind w:right="-46"/>
              <w:rPr>
                <w:sz w:val="20"/>
                <w:vertAlign w:val="superscript"/>
              </w:rPr>
            </w:pPr>
            <w:r w:rsidRPr="00A57C38">
              <w:rPr>
                <w:b w:val="0"/>
                <w:sz w:val="20"/>
              </w:rPr>
              <w:t xml:space="preserve">Number of </w:t>
            </w:r>
            <w:r>
              <w:rPr>
                <w:b w:val="0"/>
                <w:sz w:val="20"/>
              </w:rPr>
              <w:t>enrollment in</w:t>
            </w:r>
            <w:r w:rsidRPr="00A57C38">
              <w:rPr>
                <w:b w:val="0"/>
                <w:sz w:val="20"/>
              </w:rPr>
              <w:t xml:space="preserve"> STEM programs</w:t>
            </w:r>
            <w:r>
              <w:rPr>
                <w:sz w:val="20"/>
                <w:vertAlign w:val="superscript"/>
              </w:rPr>
              <w:t>3</w:t>
            </w:r>
          </w:p>
        </w:tc>
        <w:tc>
          <w:tcPr>
            <w:tcW w:w="1170" w:type="dxa"/>
            <w:vAlign w:val="bottom"/>
          </w:tcPr>
          <w:p w14:paraId="48A043DF" w14:textId="77777777" w:rsidR="0035631A" w:rsidRPr="00A57C38" w:rsidDel="003A7428" w:rsidRDefault="0035631A" w:rsidP="002C1DFA">
            <w:pPr>
              <w:suppressAutoHyphens/>
              <w:jc w:val="center"/>
              <w:rPr>
                <w:sz w:val="20"/>
              </w:rPr>
            </w:pPr>
            <w:r>
              <w:rPr>
                <w:sz w:val="20"/>
              </w:rPr>
              <w:t>1026</w:t>
            </w:r>
          </w:p>
        </w:tc>
        <w:tc>
          <w:tcPr>
            <w:tcW w:w="1170" w:type="dxa"/>
            <w:vAlign w:val="bottom"/>
          </w:tcPr>
          <w:p w14:paraId="4758ABA9" w14:textId="77777777" w:rsidR="0035631A" w:rsidRPr="00A57C38" w:rsidRDefault="0035631A" w:rsidP="002C1DFA">
            <w:pPr>
              <w:tabs>
                <w:tab w:val="left" w:pos="285"/>
                <w:tab w:val="center" w:pos="598"/>
              </w:tabs>
              <w:suppressAutoHyphens/>
              <w:jc w:val="center"/>
              <w:rPr>
                <w:sz w:val="20"/>
              </w:rPr>
            </w:pPr>
            <w:r>
              <w:rPr>
                <w:sz w:val="20"/>
              </w:rPr>
              <w:t>1103</w:t>
            </w:r>
          </w:p>
        </w:tc>
        <w:tc>
          <w:tcPr>
            <w:tcW w:w="1170" w:type="dxa"/>
          </w:tcPr>
          <w:p w14:paraId="2FBE5095" w14:textId="77777777" w:rsidR="0035631A" w:rsidRDefault="0035631A" w:rsidP="002C1DFA">
            <w:pPr>
              <w:suppressAutoHyphens/>
              <w:jc w:val="center"/>
              <w:rPr>
                <w:sz w:val="20"/>
              </w:rPr>
            </w:pPr>
          </w:p>
          <w:p w14:paraId="332623F8" w14:textId="77777777" w:rsidR="0035631A" w:rsidRPr="00A57C38" w:rsidRDefault="0035631A" w:rsidP="002C1DFA">
            <w:pPr>
              <w:suppressAutoHyphens/>
              <w:jc w:val="center"/>
              <w:rPr>
                <w:sz w:val="20"/>
              </w:rPr>
            </w:pPr>
            <w:r>
              <w:rPr>
                <w:sz w:val="20"/>
              </w:rPr>
              <w:t>1176</w:t>
            </w:r>
          </w:p>
        </w:tc>
        <w:tc>
          <w:tcPr>
            <w:tcW w:w="1170" w:type="dxa"/>
            <w:vAlign w:val="bottom"/>
          </w:tcPr>
          <w:p w14:paraId="593EB1A4" w14:textId="77777777" w:rsidR="0035631A" w:rsidRPr="003D5361" w:rsidRDefault="0035631A" w:rsidP="002C1DFA">
            <w:pPr>
              <w:suppressAutoHyphens/>
              <w:jc w:val="center"/>
              <w:rPr>
                <w:sz w:val="20"/>
              </w:rPr>
            </w:pPr>
            <w:r w:rsidRPr="003D5361">
              <w:rPr>
                <w:sz w:val="20"/>
              </w:rPr>
              <w:t>1</w:t>
            </w:r>
            <w:r>
              <w:rPr>
                <w:sz w:val="20"/>
              </w:rPr>
              <w:t>304</w:t>
            </w:r>
          </w:p>
        </w:tc>
        <w:tc>
          <w:tcPr>
            <w:tcW w:w="1170" w:type="dxa"/>
          </w:tcPr>
          <w:p w14:paraId="5531C488" w14:textId="77777777" w:rsidR="0035631A" w:rsidRPr="00C83B07" w:rsidRDefault="0035631A" w:rsidP="002C1DFA">
            <w:pPr>
              <w:suppressAutoHyphens/>
              <w:jc w:val="center"/>
              <w:rPr>
                <w:sz w:val="20"/>
              </w:rPr>
            </w:pPr>
          </w:p>
          <w:p w14:paraId="714D7B15" w14:textId="77777777" w:rsidR="0035631A" w:rsidRPr="00C83B07" w:rsidRDefault="0035631A" w:rsidP="002C1DFA">
            <w:pPr>
              <w:suppressAutoHyphens/>
              <w:jc w:val="center"/>
              <w:rPr>
                <w:sz w:val="20"/>
              </w:rPr>
            </w:pPr>
            <w:r w:rsidRPr="00C83B07">
              <w:rPr>
                <w:sz w:val="20"/>
              </w:rPr>
              <w:t>13</w:t>
            </w:r>
            <w:r w:rsidR="00C83B07" w:rsidRPr="00C83B07">
              <w:rPr>
                <w:sz w:val="20"/>
              </w:rPr>
              <w:t>92</w:t>
            </w:r>
          </w:p>
        </w:tc>
        <w:tc>
          <w:tcPr>
            <w:tcW w:w="1170" w:type="dxa"/>
          </w:tcPr>
          <w:p w14:paraId="4477C120" w14:textId="77777777" w:rsidR="0035631A" w:rsidRPr="00C83B07" w:rsidRDefault="0035631A" w:rsidP="002C1DFA">
            <w:pPr>
              <w:suppressAutoHyphens/>
              <w:jc w:val="center"/>
              <w:rPr>
                <w:sz w:val="20"/>
              </w:rPr>
            </w:pPr>
          </w:p>
          <w:p w14:paraId="4138C310" w14:textId="77777777" w:rsidR="00C83B07" w:rsidRPr="00C83B07" w:rsidRDefault="00C83B07" w:rsidP="002C1DFA">
            <w:pPr>
              <w:suppressAutoHyphens/>
              <w:jc w:val="center"/>
              <w:rPr>
                <w:sz w:val="20"/>
              </w:rPr>
            </w:pPr>
            <w:r w:rsidRPr="00C83B07">
              <w:rPr>
                <w:sz w:val="20"/>
              </w:rPr>
              <w:t>1402</w:t>
            </w:r>
          </w:p>
        </w:tc>
      </w:tr>
      <w:tr w:rsidR="0035631A" w:rsidRPr="00A57C38" w14:paraId="0C875497" w14:textId="77777777" w:rsidTr="0035631A">
        <w:tblPrEx>
          <w:tblCellMar>
            <w:top w:w="0" w:type="dxa"/>
            <w:bottom w:w="0" w:type="dxa"/>
          </w:tblCellMar>
        </w:tblPrEx>
        <w:tc>
          <w:tcPr>
            <w:tcW w:w="4320" w:type="dxa"/>
            <w:gridSpan w:val="2"/>
            <w:vAlign w:val="bottom"/>
          </w:tcPr>
          <w:p w14:paraId="4EF3666F" w14:textId="77777777" w:rsidR="0035631A" w:rsidRPr="00A57C38" w:rsidRDefault="0035631A" w:rsidP="000D60F8">
            <w:pPr>
              <w:suppressAutoHyphens/>
              <w:rPr>
                <w:sz w:val="20"/>
              </w:rPr>
            </w:pPr>
          </w:p>
        </w:tc>
        <w:tc>
          <w:tcPr>
            <w:tcW w:w="1170" w:type="dxa"/>
            <w:vAlign w:val="bottom"/>
          </w:tcPr>
          <w:p w14:paraId="6AAD818B" w14:textId="77777777" w:rsidR="0035631A" w:rsidRPr="00A57C38" w:rsidRDefault="0035631A" w:rsidP="00EB6A62">
            <w:pPr>
              <w:tabs>
                <w:tab w:val="left" w:pos="285"/>
                <w:tab w:val="center" w:pos="598"/>
              </w:tabs>
              <w:suppressAutoHyphens/>
              <w:jc w:val="center"/>
              <w:rPr>
                <w:b/>
                <w:sz w:val="20"/>
              </w:rPr>
            </w:pPr>
          </w:p>
        </w:tc>
        <w:tc>
          <w:tcPr>
            <w:tcW w:w="1170" w:type="dxa"/>
            <w:vAlign w:val="bottom"/>
          </w:tcPr>
          <w:p w14:paraId="1D4FADCE" w14:textId="77777777" w:rsidR="0035631A" w:rsidRPr="00A57C38" w:rsidRDefault="0035631A" w:rsidP="00EB6A62">
            <w:pPr>
              <w:tabs>
                <w:tab w:val="left" w:pos="285"/>
                <w:tab w:val="center" w:pos="598"/>
              </w:tabs>
              <w:suppressAutoHyphens/>
              <w:jc w:val="center"/>
              <w:rPr>
                <w:b/>
                <w:sz w:val="20"/>
              </w:rPr>
            </w:pPr>
          </w:p>
        </w:tc>
        <w:tc>
          <w:tcPr>
            <w:tcW w:w="1170" w:type="dxa"/>
          </w:tcPr>
          <w:p w14:paraId="14CB786D" w14:textId="77777777" w:rsidR="0035631A" w:rsidRPr="00A57C38" w:rsidRDefault="0035631A" w:rsidP="00EB6A62">
            <w:pPr>
              <w:tabs>
                <w:tab w:val="left" w:pos="285"/>
                <w:tab w:val="center" w:pos="598"/>
              </w:tabs>
              <w:suppressAutoHyphens/>
              <w:jc w:val="center"/>
              <w:rPr>
                <w:b/>
                <w:sz w:val="20"/>
              </w:rPr>
            </w:pPr>
          </w:p>
        </w:tc>
        <w:tc>
          <w:tcPr>
            <w:tcW w:w="1170" w:type="dxa"/>
          </w:tcPr>
          <w:p w14:paraId="5CD7B71A" w14:textId="77777777" w:rsidR="0035631A" w:rsidRPr="00A57C38" w:rsidRDefault="0035631A" w:rsidP="00EB6A62">
            <w:pPr>
              <w:tabs>
                <w:tab w:val="left" w:pos="285"/>
                <w:tab w:val="center" w:pos="598"/>
              </w:tabs>
              <w:suppressAutoHyphens/>
              <w:jc w:val="center"/>
              <w:rPr>
                <w:b/>
                <w:sz w:val="20"/>
              </w:rPr>
            </w:pPr>
          </w:p>
        </w:tc>
        <w:tc>
          <w:tcPr>
            <w:tcW w:w="1170" w:type="dxa"/>
          </w:tcPr>
          <w:p w14:paraId="5A98418D" w14:textId="77777777" w:rsidR="0035631A" w:rsidRPr="00C83B07" w:rsidRDefault="0035631A" w:rsidP="00EB6A62">
            <w:pPr>
              <w:tabs>
                <w:tab w:val="left" w:pos="285"/>
                <w:tab w:val="center" w:pos="598"/>
              </w:tabs>
              <w:suppressAutoHyphens/>
              <w:jc w:val="center"/>
              <w:rPr>
                <w:b/>
                <w:sz w:val="20"/>
              </w:rPr>
            </w:pPr>
          </w:p>
        </w:tc>
        <w:tc>
          <w:tcPr>
            <w:tcW w:w="1170" w:type="dxa"/>
          </w:tcPr>
          <w:p w14:paraId="1E17A7A6" w14:textId="77777777" w:rsidR="0035631A" w:rsidRPr="00C83B07" w:rsidRDefault="0035631A" w:rsidP="00EB6A62">
            <w:pPr>
              <w:tabs>
                <w:tab w:val="left" w:pos="285"/>
                <w:tab w:val="center" w:pos="598"/>
              </w:tabs>
              <w:suppressAutoHyphens/>
              <w:jc w:val="center"/>
              <w:rPr>
                <w:b/>
                <w:sz w:val="20"/>
              </w:rPr>
            </w:pPr>
          </w:p>
        </w:tc>
      </w:tr>
      <w:tr w:rsidR="0035631A" w:rsidRPr="00A57C38" w14:paraId="2CE02AAE" w14:textId="77777777" w:rsidTr="0035631A">
        <w:tblPrEx>
          <w:tblCellMar>
            <w:top w:w="0" w:type="dxa"/>
            <w:bottom w:w="0" w:type="dxa"/>
          </w:tblCellMar>
        </w:tblPrEx>
        <w:trPr>
          <w:trHeight w:val="405"/>
        </w:trPr>
        <w:tc>
          <w:tcPr>
            <w:tcW w:w="1152" w:type="dxa"/>
          </w:tcPr>
          <w:p w14:paraId="3EC4CAB2" w14:textId="77777777" w:rsidR="0035631A" w:rsidRPr="00A57C38" w:rsidRDefault="0035631A" w:rsidP="00870FA3">
            <w:pPr>
              <w:pStyle w:val="Heading4"/>
              <w:ind w:right="-46"/>
              <w:rPr>
                <w:sz w:val="20"/>
              </w:rPr>
            </w:pPr>
            <w:r>
              <w:rPr>
                <w:sz w:val="20"/>
              </w:rPr>
              <w:t>Output</w:t>
            </w:r>
          </w:p>
        </w:tc>
        <w:tc>
          <w:tcPr>
            <w:tcW w:w="3168" w:type="dxa"/>
          </w:tcPr>
          <w:p w14:paraId="1EA0DE17" w14:textId="77777777" w:rsidR="0035631A" w:rsidRPr="00A57C38" w:rsidRDefault="0035631A" w:rsidP="00870FA3">
            <w:pPr>
              <w:pStyle w:val="Heading4"/>
              <w:ind w:right="-46"/>
              <w:rPr>
                <w:sz w:val="20"/>
                <w:vertAlign w:val="superscript"/>
              </w:rPr>
            </w:pPr>
            <w:r w:rsidRPr="00A57C38">
              <w:rPr>
                <w:b w:val="0"/>
                <w:sz w:val="20"/>
              </w:rPr>
              <w:t>Number of graduates of STEM programs</w:t>
            </w:r>
          </w:p>
        </w:tc>
        <w:tc>
          <w:tcPr>
            <w:tcW w:w="1170" w:type="dxa"/>
          </w:tcPr>
          <w:p w14:paraId="1C74E084" w14:textId="77777777" w:rsidR="0035631A" w:rsidRPr="00A57C38" w:rsidDel="003A7428" w:rsidRDefault="0035631A" w:rsidP="00F47891">
            <w:pPr>
              <w:suppressAutoHyphens/>
              <w:jc w:val="center"/>
              <w:rPr>
                <w:sz w:val="20"/>
              </w:rPr>
            </w:pPr>
            <w:r w:rsidRPr="00A57C38">
              <w:rPr>
                <w:sz w:val="20"/>
              </w:rPr>
              <w:t>2</w:t>
            </w:r>
            <w:r>
              <w:rPr>
                <w:sz w:val="20"/>
              </w:rPr>
              <w:t>25</w:t>
            </w:r>
          </w:p>
        </w:tc>
        <w:tc>
          <w:tcPr>
            <w:tcW w:w="1170" w:type="dxa"/>
          </w:tcPr>
          <w:p w14:paraId="4AD5D85B" w14:textId="77777777" w:rsidR="0035631A" w:rsidRPr="00A57C38" w:rsidRDefault="0035631A" w:rsidP="00F47891">
            <w:pPr>
              <w:tabs>
                <w:tab w:val="left" w:pos="285"/>
                <w:tab w:val="center" w:pos="598"/>
              </w:tabs>
              <w:suppressAutoHyphens/>
              <w:jc w:val="center"/>
              <w:rPr>
                <w:sz w:val="20"/>
              </w:rPr>
            </w:pPr>
            <w:r w:rsidRPr="00A57C38">
              <w:rPr>
                <w:sz w:val="20"/>
              </w:rPr>
              <w:t>2</w:t>
            </w:r>
            <w:r>
              <w:rPr>
                <w:sz w:val="20"/>
              </w:rPr>
              <w:t>08</w:t>
            </w:r>
          </w:p>
        </w:tc>
        <w:tc>
          <w:tcPr>
            <w:tcW w:w="1170" w:type="dxa"/>
          </w:tcPr>
          <w:p w14:paraId="08DA01F0" w14:textId="77777777" w:rsidR="0035631A" w:rsidRPr="00A57C38" w:rsidRDefault="0035631A" w:rsidP="003314E5">
            <w:pPr>
              <w:suppressAutoHyphens/>
              <w:jc w:val="center"/>
              <w:rPr>
                <w:sz w:val="20"/>
              </w:rPr>
            </w:pPr>
            <w:r w:rsidRPr="00A57C38">
              <w:rPr>
                <w:sz w:val="20"/>
              </w:rPr>
              <w:t>2</w:t>
            </w:r>
            <w:r>
              <w:rPr>
                <w:sz w:val="20"/>
              </w:rPr>
              <w:t>14</w:t>
            </w:r>
          </w:p>
        </w:tc>
        <w:tc>
          <w:tcPr>
            <w:tcW w:w="1170" w:type="dxa"/>
          </w:tcPr>
          <w:p w14:paraId="2E8916BA" w14:textId="77777777" w:rsidR="0035631A" w:rsidRPr="00DC3F75" w:rsidRDefault="0035631A" w:rsidP="00F47891">
            <w:pPr>
              <w:suppressAutoHyphens/>
              <w:jc w:val="center"/>
              <w:rPr>
                <w:sz w:val="20"/>
              </w:rPr>
            </w:pPr>
            <w:r w:rsidRPr="00DC3F75">
              <w:rPr>
                <w:sz w:val="20"/>
              </w:rPr>
              <w:t>24</w:t>
            </w:r>
            <w:r>
              <w:rPr>
                <w:sz w:val="20"/>
              </w:rPr>
              <w:t>4</w:t>
            </w:r>
          </w:p>
        </w:tc>
        <w:tc>
          <w:tcPr>
            <w:tcW w:w="1170" w:type="dxa"/>
          </w:tcPr>
          <w:p w14:paraId="5C399C6F" w14:textId="77777777" w:rsidR="0035631A" w:rsidRPr="00C83B07" w:rsidRDefault="0035631A" w:rsidP="00B81733">
            <w:pPr>
              <w:suppressAutoHyphens/>
              <w:jc w:val="center"/>
              <w:rPr>
                <w:sz w:val="20"/>
              </w:rPr>
            </w:pPr>
            <w:r w:rsidRPr="00C83B07">
              <w:rPr>
                <w:sz w:val="20"/>
              </w:rPr>
              <w:t>2</w:t>
            </w:r>
            <w:r w:rsidR="004159C8" w:rsidRPr="00C83B07">
              <w:rPr>
                <w:sz w:val="20"/>
              </w:rPr>
              <w:t>60</w:t>
            </w:r>
          </w:p>
        </w:tc>
        <w:tc>
          <w:tcPr>
            <w:tcW w:w="1170" w:type="dxa"/>
          </w:tcPr>
          <w:p w14:paraId="29333760" w14:textId="77777777" w:rsidR="0035631A" w:rsidRPr="00C83B07" w:rsidRDefault="004159C8" w:rsidP="00C83B07">
            <w:pPr>
              <w:suppressAutoHyphens/>
              <w:jc w:val="center"/>
              <w:rPr>
                <w:sz w:val="20"/>
              </w:rPr>
            </w:pPr>
            <w:r w:rsidRPr="00C83B07">
              <w:rPr>
                <w:sz w:val="20"/>
              </w:rPr>
              <w:t>2</w:t>
            </w:r>
            <w:r w:rsidR="00C83B07" w:rsidRPr="00C83B07">
              <w:rPr>
                <w:sz w:val="20"/>
              </w:rPr>
              <w:t>62</w:t>
            </w:r>
          </w:p>
        </w:tc>
      </w:tr>
    </w:tbl>
    <w:p w14:paraId="2ED20FA8" w14:textId="77777777" w:rsidR="00870FA3" w:rsidRDefault="00870FA3" w:rsidP="008742FE">
      <w:pPr>
        <w:widowControl/>
        <w:tabs>
          <w:tab w:val="left" w:pos="1710"/>
        </w:tabs>
        <w:ind w:left="1710" w:hanging="1350"/>
        <w:jc w:val="both"/>
        <w:rPr>
          <w:b/>
          <w:sz w:val="20"/>
        </w:rPr>
      </w:pPr>
    </w:p>
    <w:p w14:paraId="4BAF6D95" w14:textId="77777777" w:rsidR="00A061C6" w:rsidRDefault="00A061C6" w:rsidP="008742FE">
      <w:pPr>
        <w:widowControl/>
        <w:tabs>
          <w:tab w:val="left" w:pos="1710"/>
        </w:tabs>
        <w:ind w:left="1710" w:hanging="1350"/>
        <w:jc w:val="both"/>
        <w:rPr>
          <w:b/>
          <w:sz w:val="20"/>
        </w:rPr>
      </w:pPr>
    </w:p>
    <w:p w14:paraId="240BC6E5" w14:textId="77777777" w:rsidR="00792B05" w:rsidRPr="00B55EC4" w:rsidRDefault="00792B05" w:rsidP="00792B05">
      <w:pPr>
        <w:widowControl/>
        <w:tabs>
          <w:tab w:val="left" w:pos="1710"/>
        </w:tabs>
        <w:ind w:left="1710" w:hanging="1350"/>
        <w:jc w:val="both"/>
        <w:rPr>
          <w:sz w:val="20"/>
        </w:rPr>
      </w:pPr>
      <w:r>
        <w:rPr>
          <w:b/>
          <w:sz w:val="20"/>
        </w:rPr>
        <w:t>Objective 2.</w:t>
      </w:r>
      <w:r w:rsidR="00112E6A">
        <w:rPr>
          <w:b/>
          <w:sz w:val="20"/>
        </w:rPr>
        <w:t>5</w:t>
      </w:r>
      <w:r>
        <w:rPr>
          <w:sz w:val="20"/>
        </w:rPr>
        <w:tab/>
      </w:r>
      <w:r w:rsidR="00112E6A">
        <w:rPr>
          <w:sz w:val="20"/>
        </w:rPr>
        <w:t xml:space="preserve">The number of Nursing degree </w:t>
      </w:r>
      <w:r w:rsidR="00A4115C">
        <w:rPr>
          <w:sz w:val="20"/>
        </w:rPr>
        <w:t>recipients will increase from 84</w:t>
      </w:r>
      <w:r w:rsidR="00F4667E">
        <w:rPr>
          <w:sz w:val="20"/>
        </w:rPr>
        <w:t xml:space="preserve"> in 2009 to 100</w:t>
      </w:r>
      <w:r w:rsidR="00112E6A">
        <w:rPr>
          <w:sz w:val="20"/>
        </w:rPr>
        <w:t xml:space="preserve"> in 2014.</w:t>
      </w:r>
    </w:p>
    <w:p w14:paraId="72DA09E4" w14:textId="77777777" w:rsidR="00FE7896" w:rsidRPr="004B3D30" w:rsidRDefault="004634E9" w:rsidP="00FE7896">
      <w:pPr>
        <w:widowControl/>
        <w:tabs>
          <w:tab w:val="left" w:pos="5325"/>
        </w:tabs>
        <w:ind w:left="1710" w:hanging="1350"/>
        <w:jc w:val="both"/>
        <w:rPr>
          <w:b/>
          <w:sz w:val="20"/>
        </w:rPr>
      </w:pPr>
      <w:r>
        <w:rPr>
          <w:b/>
          <w:sz w:val="20"/>
        </w:rPr>
        <w:t xml:space="preserve"> </w:t>
      </w:r>
      <w:r w:rsidR="00FE7896">
        <w:rPr>
          <w:b/>
          <w:sz w:val="20"/>
        </w:rPr>
        <w:tab/>
      </w:r>
    </w:p>
    <w:tbl>
      <w:tblPr>
        <w:tblW w:w="6660" w:type="dxa"/>
        <w:tblInd w:w="4788" w:type="dxa"/>
        <w:tblLayout w:type="fixed"/>
        <w:tblLook w:val="0000" w:firstRow="0" w:lastRow="0" w:firstColumn="0" w:lastColumn="0" w:noHBand="0" w:noVBand="0"/>
      </w:tblPr>
      <w:tblGrid>
        <w:gridCol w:w="1080"/>
        <w:gridCol w:w="1170"/>
        <w:gridCol w:w="1170"/>
        <w:gridCol w:w="1080"/>
        <w:gridCol w:w="1080"/>
        <w:gridCol w:w="1080"/>
      </w:tblGrid>
      <w:tr w:rsidR="0035631A" w:rsidRPr="004B3D30" w14:paraId="7806DF6A" w14:textId="77777777" w:rsidTr="0035631A">
        <w:tblPrEx>
          <w:tblCellMar>
            <w:top w:w="0" w:type="dxa"/>
            <w:bottom w:w="0" w:type="dxa"/>
          </w:tblCellMar>
        </w:tblPrEx>
        <w:tc>
          <w:tcPr>
            <w:tcW w:w="1080" w:type="dxa"/>
            <w:vAlign w:val="bottom"/>
          </w:tcPr>
          <w:p w14:paraId="31BA73B4" w14:textId="77777777" w:rsidR="0035631A" w:rsidRPr="004B3D30" w:rsidRDefault="0035631A" w:rsidP="002F2472">
            <w:pPr>
              <w:tabs>
                <w:tab w:val="left" w:pos="285"/>
                <w:tab w:val="center" w:pos="598"/>
              </w:tabs>
              <w:suppressAutoHyphens/>
              <w:jc w:val="center"/>
              <w:rPr>
                <w:b/>
                <w:sz w:val="20"/>
              </w:rPr>
            </w:pPr>
            <w:r w:rsidRPr="004B3D30">
              <w:rPr>
                <w:b/>
                <w:sz w:val="20"/>
              </w:rPr>
              <w:t xml:space="preserve">2009 </w:t>
            </w:r>
          </w:p>
          <w:p w14:paraId="58F58E3D" w14:textId="77777777" w:rsidR="0035631A" w:rsidRPr="004B3D30" w:rsidRDefault="0035631A" w:rsidP="002F2472">
            <w:pPr>
              <w:tabs>
                <w:tab w:val="left" w:pos="285"/>
                <w:tab w:val="center" w:pos="598"/>
              </w:tabs>
              <w:suppressAutoHyphens/>
              <w:jc w:val="center"/>
              <w:rPr>
                <w:b/>
                <w:sz w:val="20"/>
              </w:rPr>
            </w:pPr>
            <w:r w:rsidRPr="004B3D30">
              <w:rPr>
                <w:b/>
                <w:sz w:val="20"/>
              </w:rPr>
              <w:t>Actual</w:t>
            </w:r>
          </w:p>
        </w:tc>
        <w:tc>
          <w:tcPr>
            <w:tcW w:w="1170" w:type="dxa"/>
            <w:vAlign w:val="bottom"/>
          </w:tcPr>
          <w:p w14:paraId="5F5EAFCC" w14:textId="77777777" w:rsidR="0035631A" w:rsidRPr="004B3D30" w:rsidRDefault="0035631A" w:rsidP="002F2472">
            <w:pPr>
              <w:tabs>
                <w:tab w:val="left" w:pos="285"/>
                <w:tab w:val="center" w:pos="598"/>
              </w:tabs>
              <w:suppressAutoHyphens/>
              <w:jc w:val="center"/>
              <w:rPr>
                <w:b/>
                <w:sz w:val="20"/>
              </w:rPr>
            </w:pPr>
            <w:r w:rsidRPr="004B3D30">
              <w:rPr>
                <w:b/>
                <w:sz w:val="20"/>
              </w:rPr>
              <w:t>2010</w:t>
            </w:r>
          </w:p>
          <w:p w14:paraId="4E8B05B1" w14:textId="77777777" w:rsidR="0035631A" w:rsidRPr="004B3D30" w:rsidRDefault="0035631A" w:rsidP="002F2472">
            <w:pPr>
              <w:tabs>
                <w:tab w:val="left" w:pos="285"/>
                <w:tab w:val="center" w:pos="598"/>
              </w:tabs>
              <w:suppressAutoHyphens/>
              <w:jc w:val="center"/>
              <w:rPr>
                <w:b/>
                <w:sz w:val="20"/>
              </w:rPr>
            </w:pPr>
            <w:r w:rsidRPr="004B3D30">
              <w:rPr>
                <w:b/>
                <w:sz w:val="20"/>
              </w:rPr>
              <w:t xml:space="preserve"> Actual</w:t>
            </w:r>
          </w:p>
        </w:tc>
        <w:tc>
          <w:tcPr>
            <w:tcW w:w="1170" w:type="dxa"/>
          </w:tcPr>
          <w:p w14:paraId="4666364F" w14:textId="77777777" w:rsidR="0035631A" w:rsidRPr="004B3D30" w:rsidRDefault="0035631A" w:rsidP="002F2472">
            <w:pPr>
              <w:tabs>
                <w:tab w:val="left" w:pos="285"/>
                <w:tab w:val="center" w:pos="598"/>
              </w:tabs>
              <w:suppressAutoHyphens/>
              <w:jc w:val="center"/>
              <w:rPr>
                <w:b/>
                <w:sz w:val="20"/>
              </w:rPr>
            </w:pPr>
            <w:r w:rsidRPr="004B3D30">
              <w:rPr>
                <w:b/>
                <w:sz w:val="20"/>
              </w:rPr>
              <w:t xml:space="preserve">2011 </w:t>
            </w:r>
          </w:p>
          <w:p w14:paraId="5A3E5AD3" w14:textId="77777777" w:rsidR="0035631A" w:rsidRPr="004B3D30" w:rsidRDefault="0035631A" w:rsidP="002F2472">
            <w:pPr>
              <w:tabs>
                <w:tab w:val="left" w:pos="285"/>
                <w:tab w:val="center" w:pos="598"/>
              </w:tabs>
              <w:suppressAutoHyphens/>
              <w:jc w:val="center"/>
              <w:rPr>
                <w:b/>
                <w:sz w:val="20"/>
              </w:rPr>
            </w:pPr>
            <w:r w:rsidRPr="004B3D30">
              <w:rPr>
                <w:b/>
                <w:sz w:val="20"/>
              </w:rPr>
              <w:t>Actual</w:t>
            </w:r>
          </w:p>
        </w:tc>
        <w:tc>
          <w:tcPr>
            <w:tcW w:w="1080" w:type="dxa"/>
          </w:tcPr>
          <w:p w14:paraId="252F4099" w14:textId="77777777" w:rsidR="0035631A" w:rsidRPr="004B3D30" w:rsidRDefault="0035631A" w:rsidP="002F2472">
            <w:pPr>
              <w:tabs>
                <w:tab w:val="left" w:pos="285"/>
                <w:tab w:val="center" w:pos="598"/>
              </w:tabs>
              <w:suppressAutoHyphens/>
              <w:jc w:val="center"/>
              <w:rPr>
                <w:b/>
                <w:sz w:val="20"/>
              </w:rPr>
            </w:pPr>
            <w:r w:rsidRPr="004B3D30">
              <w:rPr>
                <w:b/>
                <w:sz w:val="20"/>
              </w:rPr>
              <w:t>2012</w:t>
            </w:r>
          </w:p>
          <w:p w14:paraId="20CDEF4C" w14:textId="77777777" w:rsidR="0035631A" w:rsidRPr="004B3D30" w:rsidRDefault="006C352A" w:rsidP="002F2472">
            <w:pPr>
              <w:tabs>
                <w:tab w:val="left" w:pos="285"/>
                <w:tab w:val="center" w:pos="598"/>
              </w:tabs>
              <w:suppressAutoHyphens/>
              <w:jc w:val="center"/>
              <w:rPr>
                <w:b/>
                <w:sz w:val="20"/>
              </w:rPr>
            </w:pPr>
            <w:r w:rsidRPr="004B3D30">
              <w:rPr>
                <w:b/>
                <w:sz w:val="20"/>
              </w:rPr>
              <w:t>Actual</w:t>
            </w:r>
          </w:p>
        </w:tc>
        <w:tc>
          <w:tcPr>
            <w:tcW w:w="1080" w:type="dxa"/>
          </w:tcPr>
          <w:p w14:paraId="1761F58D" w14:textId="77777777" w:rsidR="0035631A" w:rsidRPr="004B3D30" w:rsidRDefault="0035631A" w:rsidP="00090115">
            <w:pPr>
              <w:tabs>
                <w:tab w:val="left" w:pos="285"/>
                <w:tab w:val="center" w:pos="598"/>
              </w:tabs>
              <w:suppressAutoHyphens/>
              <w:jc w:val="center"/>
              <w:rPr>
                <w:b/>
                <w:sz w:val="20"/>
              </w:rPr>
            </w:pPr>
            <w:r w:rsidRPr="004B3D30">
              <w:rPr>
                <w:b/>
                <w:sz w:val="20"/>
              </w:rPr>
              <w:t>2013 Estimated</w:t>
            </w:r>
          </w:p>
        </w:tc>
        <w:tc>
          <w:tcPr>
            <w:tcW w:w="1080" w:type="dxa"/>
          </w:tcPr>
          <w:p w14:paraId="2415EBE1" w14:textId="77777777" w:rsidR="0035631A" w:rsidRPr="004B3D30" w:rsidRDefault="0035631A" w:rsidP="00090115">
            <w:pPr>
              <w:tabs>
                <w:tab w:val="left" w:pos="285"/>
                <w:tab w:val="center" w:pos="598"/>
              </w:tabs>
              <w:suppressAutoHyphens/>
              <w:jc w:val="center"/>
              <w:rPr>
                <w:b/>
                <w:sz w:val="20"/>
              </w:rPr>
            </w:pPr>
            <w:r w:rsidRPr="004B3D30">
              <w:rPr>
                <w:b/>
                <w:sz w:val="20"/>
              </w:rPr>
              <w:t>2014 Estimated</w:t>
            </w:r>
          </w:p>
        </w:tc>
      </w:tr>
    </w:tbl>
    <w:p w14:paraId="3AB5ED0E" w14:textId="77777777" w:rsidR="00FE7896" w:rsidRDefault="00A061C6" w:rsidP="00FE7896">
      <w:pPr>
        <w:widowControl/>
        <w:tabs>
          <w:tab w:val="left" w:pos="5325"/>
        </w:tabs>
        <w:ind w:left="1710" w:hanging="1350"/>
        <w:jc w:val="both"/>
        <w:rPr>
          <w:b/>
          <w:sz w:val="20"/>
        </w:rPr>
      </w:pPr>
      <w:r>
        <w:rPr>
          <w:b/>
          <w:bCs/>
          <w:sz w:val="20"/>
        </w:rPr>
        <w:t>P</w:t>
      </w:r>
      <w:r w:rsidRPr="00A57C38">
        <w:rPr>
          <w:b/>
          <w:bCs/>
          <w:sz w:val="20"/>
        </w:rPr>
        <w:t>erformance Measure</w:t>
      </w:r>
      <w:r>
        <w:rPr>
          <w:b/>
          <w:bCs/>
          <w:sz w:val="20"/>
        </w:rPr>
        <w:t>s</w:t>
      </w:r>
    </w:p>
    <w:tbl>
      <w:tblPr>
        <w:tblpPr w:leftFromText="180" w:rightFromText="180" w:vertAnchor="text" w:horzAnchor="margin" w:tblpX="468" w:tblpY="62"/>
        <w:tblW w:w="11358" w:type="dxa"/>
        <w:tblLayout w:type="fixed"/>
        <w:tblLook w:val="0000" w:firstRow="0" w:lastRow="0" w:firstColumn="0" w:lastColumn="0" w:noHBand="0" w:noVBand="0"/>
      </w:tblPr>
      <w:tblGrid>
        <w:gridCol w:w="1188"/>
        <w:gridCol w:w="3150"/>
        <w:gridCol w:w="1170"/>
        <w:gridCol w:w="1170"/>
        <w:gridCol w:w="1170"/>
        <w:gridCol w:w="1170"/>
        <w:gridCol w:w="1170"/>
        <w:gridCol w:w="1170"/>
      </w:tblGrid>
      <w:tr w:rsidR="0047121A" w:rsidRPr="001F01A6" w14:paraId="5B2EFA1C" w14:textId="77777777" w:rsidTr="0047121A">
        <w:tblPrEx>
          <w:tblCellMar>
            <w:top w:w="0" w:type="dxa"/>
            <w:bottom w:w="0" w:type="dxa"/>
          </w:tblCellMar>
        </w:tblPrEx>
        <w:tc>
          <w:tcPr>
            <w:tcW w:w="1188" w:type="dxa"/>
          </w:tcPr>
          <w:p w14:paraId="7053FC30" w14:textId="77777777" w:rsidR="0047121A" w:rsidRPr="001F01A6" w:rsidRDefault="0047121A" w:rsidP="002F2472">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r w:rsidRPr="001F01A6">
              <w:rPr>
                <w:sz w:val="20"/>
              </w:rPr>
              <w:t>Input</w:t>
            </w:r>
          </w:p>
        </w:tc>
        <w:tc>
          <w:tcPr>
            <w:tcW w:w="3150" w:type="dxa"/>
          </w:tcPr>
          <w:p w14:paraId="60FEAFED" w14:textId="77777777" w:rsidR="0047121A" w:rsidRPr="001F01A6" w:rsidRDefault="0047121A" w:rsidP="00BA3780">
            <w:pPr>
              <w:suppressAutoHyphens/>
              <w:rPr>
                <w:sz w:val="20"/>
              </w:rPr>
            </w:pPr>
            <w:r w:rsidRPr="001F01A6">
              <w:rPr>
                <w:sz w:val="20"/>
              </w:rPr>
              <w:t>Number of undergraduate nursing majors</w:t>
            </w:r>
            <w:r w:rsidRPr="001F01A6">
              <w:rPr>
                <w:sz w:val="20"/>
                <w:vertAlign w:val="superscript"/>
              </w:rPr>
              <w:t>3</w:t>
            </w:r>
          </w:p>
        </w:tc>
        <w:tc>
          <w:tcPr>
            <w:tcW w:w="1170" w:type="dxa"/>
          </w:tcPr>
          <w:p w14:paraId="25B005EB" w14:textId="77777777" w:rsidR="0047121A" w:rsidRPr="001F01A6" w:rsidRDefault="0047121A" w:rsidP="00112E6A">
            <w:pPr>
              <w:suppressAutoHyphens/>
              <w:jc w:val="center"/>
              <w:rPr>
                <w:sz w:val="20"/>
              </w:rPr>
            </w:pPr>
          </w:p>
          <w:p w14:paraId="6CDFD4A5" w14:textId="77777777" w:rsidR="0047121A" w:rsidRPr="001F01A6" w:rsidRDefault="0047121A" w:rsidP="00112E6A">
            <w:pPr>
              <w:suppressAutoHyphens/>
              <w:jc w:val="center"/>
              <w:rPr>
                <w:sz w:val="20"/>
              </w:rPr>
            </w:pPr>
            <w:r w:rsidRPr="001F01A6">
              <w:rPr>
                <w:sz w:val="20"/>
              </w:rPr>
              <w:t>453</w:t>
            </w:r>
          </w:p>
        </w:tc>
        <w:tc>
          <w:tcPr>
            <w:tcW w:w="1170" w:type="dxa"/>
          </w:tcPr>
          <w:p w14:paraId="61EDBAB2" w14:textId="77777777" w:rsidR="0047121A" w:rsidRPr="001F01A6" w:rsidRDefault="0047121A" w:rsidP="00112E6A">
            <w:pPr>
              <w:suppressAutoHyphens/>
              <w:jc w:val="center"/>
              <w:rPr>
                <w:sz w:val="20"/>
              </w:rPr>
            </w:pPr>
          </w:p>
          <w:p w14:paraId="78202922" w14:textId="77777777" w:rsidR="0047121A" w:rsidRPr="001F01A6" w:rsidRDefault="0047121A" w:rsidP="00112E6A">
            <w:pPr>
              <w:suppressAutoHyphens/>
              <w:jc w:val="center"/>
              <w:rPr>
                <w:sz w:val="20"/>
              </w:rPr>
            </w:pPr>
            <w:r w:rsidRPr="001F01A6">
              <w:rPr>
                <w:sz w:val="20"/>
              </w:rPr>
              <w:t>488</w:t>
            </w:r>
          </w:p>
        </w:tc>
        <w:tc>
          <w:tcPr>
            <w:tcW w:w="1170" w:type="dxa"/>
          </w:tcPr>
          <w:p w14:paraId="04D701D4" w14:textId="77777777" w:rsidR="0047121A" w:rsidRPr="001F01A6" w:rsidRDefault="0047121A" w:rsidP="00112E6A">
            <w:pPr>
              <w:suppressAutoHyphens/>
              <w:jc w:val="center"/>
              <w:rPr>
                <w:sz w:val="20"/>
              </w:rPr>
            </w:pPr>
          </w:p>
          <w:p w14:paraId="476DDAE3" w14:textId="77777777" w:rsidR="0047121A" w:rsidRPr="001F01A6" w:rsidRDefault="0047121A" w:rsidP="00112E6A">
            <w:pPr>
              <w:jc w:val="center"/>
              <w:rPr>
                <w:sz w:val="20"/>
              </w:rPr>
            </w:pPr>
            <w:r w:rsidRPr="001F01A6">
              <w:rPr>
                <w:sz w:val="20"/>
              </w:rPr>
              <w:t>533</w:t>
            </w:r>
          </w:p>
        </w:tc>
        <w:tc>
          <w:tcPr>
            <w:tcW w:w="1170" w:type="dxa"/>
          </w:tcPr>
          <w:p w14:paraId="5C730B22" w14:textId="77777777" w:rsidR="0047121A" w:rsidRPr="001F01A6" w:rsidRDefault="0047121A" w:rsidP="00112E6A">
            <w:pPr>
              <w:suppressAutoHyphens/>
              <w:jc w:val="center"/>
              <w:rPr>
                <w:sz w:val="20"/>
              </w:rPr>
            </w:pPr>
          </w:p>
          <w:p w14:paraId="447EFAEE" w14:textId="77777777" w:rsidR="0047121A" w:rsidRPr="000D7FE4" w:rsidRDefault="007C2D62" w:rsidP="00112E6A">
            <w:pPr>
              <w:suppressAutoHyphens/>
              <w:jc w:val="center"/>
              <w:rPr>
                <w:sz w:val="20"/>
              </w:rPr>
            </w:pPr>
            <w:r>
              <w:rPr>
                <w:sz w:val="20"/>
              </w:rPr>
              <w:t>578</w:t>
            </w:r>
          </w:p>
          <w:p w14:paraId="566D65A9" w14:textId="77777777" w:rsidR="0047121A" w:rsidRPr="001F01A6" w:rsidRDefault="0047121A" w:rsidP="00112E6A">
            <w:pPr>
              <w:suppressAutoHyphens/>
              <w:jc w:val="center"/>
              <w:rPr>
                <w:sz w:val="20"/>
              </w:rPr>
            </w:pPr>
          </w:p>
        </w:tc>
        <w:tc>
          <w:tcPr>
            <w:tcW w:w="1170" w:type="dxa"/>
          </w:tcPr>
          <w:p w14:paraId="3DE1DF22" w14:textId="77777777" w:rsidR="0047121A" w:rsidRPr="001F01A6" w:rsidRDefault="0047121A" w:rsidP="00112E6A">
            <w:pPr>
              <w:suppressAutoHyphens/>
              <w:jc w:val="center"/>
              <w:rPr>
                <w:sz w:val="20"/>
              </w:rPr>
            </w:pPr>
          </w:p>
          <w:p w14:paraId="1D39F3EB" w14:textId="77777777" w:rsidR="0047121A" w:rsidRPr="001F01A6" w:rsidRDefault="0047121A" w:rsidP="00112E6A">
            <w:pPr>
              <w:suppressAutoHyphens/>
              <w:jc w:val="center"/>
              <w:rPr>
                <w:sz w:val="20"/>
              </w:rPr>
            </w:pPr>
            <w:r w:rsidRPr="001F01A6">
              <w:rPr>
                <w:sz w:val="20"/>
              </w:rPr>
              <w:t>5</w:t>
            </w:r>
            <w:r w:rsidR="00D7790D">
              <w:rPr>
                <w:sz w:val="20"/>
              </w:rPr>
              <w:t>70</w:t>
            </w:r>
          </w:p>
        </w:tc>
        <w:tc>
          <w:tcPr>
            <w:tcW w:w="1170" w:type="dxa"/>
          </w:tcPr>
          <w:p w14:paraId="534F4CAC" w14:textId="77777777" w:rsidR="0047121A" w:rsidRDefault="0047121A" w:rsidP="0047121A">
            <w:pPr>
              <w:suppressAutoHyphens/>
              <w:ind w:right="134"/>
              <w:jc w:val="center"/>
              <w:rPr>
                <w:sz w:val="20"/>
              </w:rPr>
            </w:pPr>
          </w:p>
          <w:p w14:paraId="243D3535" w14:textId="77777777" w:rsidR="0047121A" w:rsidRPr="001F01A6" w:rsidRDefault="00D7790D" w:rsidP="0047121A">
            <w:pPr>
              <w:suppressAutoHyphens/>
              <w:ind w:right="134"/>
              <w:jc w:val="center"/>
              <w:rPr>
                <w:sz w:val="20"/>
              </w:rPr>
            </w:pPr>
            <w:r>
              <w:rPr>
                <w:sz w:val="20"/>
              </w:rPr>
              <w:t>570</w:t>
            </w:r>
          </w:p>
        </w:tc>
      </w:tr>
      <w:tr w:rsidR="0047121A" w:rsidRPr="001F01A6" w14:paraId="743DCA4B" w14:textId="77777777" w:rsidTr="0047121A">
        <w:tblPrEx>
          <w:tblCellMar>
            <w:top w:w="0" w:type="dxa"/>
            <w:bottom w:w="0" w:type="dxa"/>
          </w:tblCellMar>
        </w:tblPrEx>
        <w:trPr>
          <w:trHeight w:val="437"/>
        </w:trPr>
        <w:tc>
          <w:tcPr>
            <w:tcW w:w="1188" w:type="dxa"/>
          </w:tcPr>
          <w:p w14:paraId="343DE56E" w14:textId="77777777" w:rsidR="0047121A" w:rsidRPr="001F01A6" w:rsidRDefault="0047121A" w:rsidP="00112E6A">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r w:rsidRPr="001F01A6">
              <w:rPr>
                <w:sz w:val="20"/>
              </w:rPr>
              <w:t>Output</w:t>
            </w:r>
          </w:p>
        </w:tc>
        <w:tc>
          <w:tcPr>
            <w:tcW w:w="3150" w:type="dxa"/>
            <w:vAlign w:val="bottom"/>
          </w:tcPr>
          <w:p w14:paraId="45977DF5" w14:textId="77777777" w:rsidR="0047121A" w:rsidRPr="001F01A6" w:rsidRDefault="0047121A" w:rsidP="002F2472">
            <w:pPr>
              <w:suppressAutoHyphens/>
              <w:rPr>
                <w:sz w:val="20"/>
              </w:rPr>
            </w:pPr>
            <w:r w:rsidRPr="001F01A6">
              <w:rPr>
                <w:sz w:val="20"/>
              </w:rPr>
              <w:t>Number of baccalaureate degree recipients in nursing</w:t>
            </w:r>
          </w:p>
        </w:tc>
        <w:tc>
          <w:tcPr>
            <w:tcW w:w="1170" w:type="dxa"/>
          </w:tcPr>
          <w:p w14:paraId="5FC80767" w14:textId="77777777" w:rsidR="0047121A" w:rsidRPr="001F01A6" w:rsidRDefault="0047121A" w:rsidP="00112E6A">
            <w:pPr>
              <w:suppressAutoHyphens/>
              <w:jc w:val="center"/>
              <w:rPr>
                <w:sz w:val="20"/>
              </w:rPr>
            </w:pPr>
            <w:r w:rsidRPr="001F01A6">
              <w:rPr>
                <w:sz w:val="20"/>
              </w:rPr>
              <w:t>76</w:t>
            </w:r>
          </w:p>
        </w:tc>
        <w:tc>
          <w:tcPr>
            <w:tcW w:w="1170" w:type="dxa"/>
          </w:tcPr>
          <w:p w14:paraId="17D0EDBC" w14:textId="77777777" w:rsidR="0047121A" w:rsidRPr="001F01A6" w:rsidRDefault="0047121A" w:rsidP="00112E6A">
            <w:pPr>
              <w:suppressAutoHyphens/>
              <w:jc w:val="center"/>
              <w:rPr>
                <w:sz w:val="20"/>
              </w:rPr>
            </w:pPr>
            <w:r w:rsidRPr="001F01A6">
              <w:rPr>
                <w:sz w:val="20"/>
              </w:rPr>
              <w:t>83</w:t>
            </w:r>
          </w:p>
        </w:tc>
        <w:tc>
          <w:tcPr>
            <w:tcW w:w="1170" w:type="dxa"/>
          </w:tcPr>
          <w:p w14:paraId="453D0DAD" w14:textId="77777777" w:rsidR="0047121A" w:rsidRPr="001F01A6" w:rsidRDefault="0047121A" w:rsidP="00112E6A">
            <w:pPr>
              <w:jc w:val="center"/>
              <w:rPr>
                <w:sz w:val="20"/>
              </w:rPr>
            </w:pPr>
            <w:r w:rsidRPr="001F01A6">
              <w:rPr>
                <w:sz w:val="20"/>
              </w:rPr>
              <w:t>70</w:t>
            </w:r>
          </w:p>
        </w:tc>
        <w:tc>
          <w:tcPr>
            <w:tcW w:w="1170" w:type="dxa"/>
          </w:tcPr>
          <w:p w14:paraId="52429185" w14:textId="77777777" w:rsidR="0047121A" w:rsidRPr="001F01A6" w:rsidRDefault="0047121A" w:rsidP="00112E6A">
            <w:pPr>
              <w:suppressAutoHyphens/>
              <w:jc w:val="center"/>
              <w:rPr>
                <w:sz w:val="20"/>
              </w:rPr>
            </w:pPr>
            <w:r w:rsidRPr="001F01A6">
              <w:rPr>
                <w:sz w:val="20"/>
              </w:rPr>
              <w:t>84</w:t>
            </w:r>
          </w:p>
        </w:tc>
        <w:tc>
          <w:tcPr>
            <w:tcW w:w="1170" w:type="dxa"/>
          </w:tcPr>
          <w:p w14:paraId="5ED575D4" w14:textId="77777777" w:rsidR="0047121A" w:rsidRPr="001F01A6" w:rsidRDefault="0047121A" w:rsidP="00112E6A">
            <w:pPr>
              <w:suppressAutoHyphens/>
              <w:jc w:val="center"/>
              <w:rPr>
                <w:sz w:val="20"/>
              </w:rPr>
            </w:pPr>
            <w:r w:rsidRPr="001F01A6">
              <w:rPr>
                <w:sz w:val="20"/>
              </w:rPr>
              <w:t>87</w:t>
            </w:r>
          </w:p>
        </w:tc>
        <w:tc>
          <w:tcPr>
            <w:tcW w:w="1170" w:type="dxa"/>
          </w:tcPr>
          <w:p w14:paraId="3E16300A" w14:textId="77777777" w:rsidR="0047121A" w:rsidRPr="001F01A6" w:rsidRDefault="0047121A" w:rsidP="0047121A">
            <w:pPr>
              <w:suppressAutoHyphens/>
              <w:ind w:right="134"/>
              <w:jc w:val="center"/>
              <w:rPr>
                <w:sz w:val="20"/>
              </w:rPr>
            </w:pPr>
            <w:r>
              <w:rPr>
                <w:sz w:val="20"/>
              </w:rPr>
              <w:t>91</w:t>
            </w:r>
          </w:p>
        </w:tc>
      </w:tr>
    </w:tbl>
    <w:p w14:paraId="01869736" w14:textId="77777777" w:rsidR="00FE7896" w:rsidRPr="001F01A6" w:rsidRDefault="00FE7896" w:rsidP="008742FE">
      <w:pPr>
        <w:widowControl/>
        <w:tabs>
          <w:tab w:val="left" w:pos="1710"/>
        </w:tabs>
        <w:ind w:left="1710" w:hanging="1350"/>
        <w:jc w:val="both"/>
        <w:rPr>
          <w:b/>
          <w:sz w:val="20"/>
        </w:rPr>
      </w:pPr>
    </w:p>
    <w:p w14:paraId="23639EC1" w14:textId="77777777" w:rsidR="00FE7896" w:rsidRPr="001F01A6" w:rsidRDefault="00FE7896" w:rsidP="008742FE">
      <w:pPr>
        <w:widowControl/>
        <w:tabs>
          <w:tab w:val="left" w:pos="1710"/>
        </w:tabs>
        <w:ind w:left="1710" w:hanging="1350"/>
        <w:jc w:val="both"/>
        <w:rPr>
          <w:sz w:val="20"/>
        </w:rPr>
      </w:pPr>
    </w:p>
    <w:p w14:paraId="3FCE0511" w14:textId="77777777" w:rsidR="00FE7896" w:rsidRPr="001F01A6" w:rsidRDefault="00FE7896" w:rsidP="008742FE">
      <w:pPr>
        <w:widowControl/>
        <w:tabs>
          <w:tab w:val="left" w:pos="1710"/>
        </w:tabs>
        <w:ind w:left="1710" w:hanging="1350"/>
        <w:jc w:val="both"/>
        <w:rPr>
          <w:sz w:val="20"/>
        </w:rPr>
      </w:pPr>
    </w:p>
    <w:p w14:paraId="5DA52FEF" w14:textId="77777777" w:rsidR="00FE7896" w:rsidRPr="001F01A6" w:rsidRDefault="00FE7896" w:rsidP="008742FE">
      <w:pPr>
        <w:widowControl/>
        <w:tabs>
          <w:tab w:val="left" w:pos="1710"/>
        </w:tabs>
        <w:ind w:left="1710" w:hanging="1350"/>
        <w:jc w:val="both"/>
        <w:rPr>
          <w:sz w:val="20"/>
        </w:rPr>
      </w:pPr>
    </w:p>
    <w:p w14:paraId="252CC263" w14:textId="77777777" w:rsidR="00FE7896" w:rsidRPr="001F01A6" w:rsidRDefault="00FE7896" w:rsidP="008742FE">
      <w:pPr>
        <w:widowControl/>
        <w:tabs>
          <w:tab w:val="left" w:pos="1710"/>
        </w:tabs>
        <w:ind w:left="1710" w:hanging="1350"/>
        <w:jc w:val="both"/>
        <w:rPr>
          <w:sz w:val="20"/>
        </w:rPr>
      </w:pPr>
    </w:p>
    <w:p w14:paraId="412A0C48" w14:textId="77777777" w:rsidR="00FE7896" w:rsidRPr="001F01A6" w:rsidRDefault="00FE7896" w:rsidP="008742FE">
      <w:pPr>
        <w:widowControl/>
        <w:tabs>
          <w:tab w:val="left" w:pos="1710"/>
        </w:tabs>
        <w:ind w:left="1710" w:hanging="1350"/>
        <w:jc w:val="both"/>
        <w:rPr>
          <w:sz w:val="20"/>
        </w:rPr>
      </w:pPr>
    </w:p>
    <w:tbl>
      <w:tblPr>
        <w:tblpPr w:leftFromText="180" w:rightFromText="180" w:vertAnchor="text" w:horzAnchor="margin" w:tblpX="468" w:tblpY="62"/>
        <w:tblW w:w="11358" w:type="dxa"/>
        <w:tblLayout w:type="fixed"/>
        <w:tblLook w:val="0000" w:firstRow="0" w:lastRow="0" w:firstColumn="0" w:lastColumn="0" w:noHBand="0" w:noVBand="0"/>
      </w:tblPr>
      <w:tblGrid>
        <w:gridCol w:w="1188"/>
        <w:gridCol w:w="3150"/>
        <w:gridCol w:w="1170"/>
        <w:gridCol w:w="1170"/>
        <w:gridCol w:w="1170"/>
        <w:gridCol w:w="1170"/>
        <w:gridCol w:w="1170"/>
        <w:gridCol w:w="1170"/>
      </w:tblGrid>
      <w:tr w:rsidR="0047121A" w:rsidRPr="001F01A6" w14:paraId="5F324E2F" w14:textId="77777777" w:rsidTr="0047121A">
        <w:tblPrEx>
          <w:tblCellMar>
            <w:top w:w="0" w:type="dxa"/>
            <w:bottom w:w="0" w:type="dxa"/>
          </w:tblCellMar>
        </w:tblPrEx>
        <w:tc>
          <w:tcPr>
            <w:tcW w:w="1188" w:type="dxa"/>
          </w:tcPr>
          <w:p w14:paraId="05260877" w14:textId="77777777" w:rsidR="0047121A" w:rsidRPr="001F01A6" w:rsidRDefault="0047121A" w:rsidP="00A4115C">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b w:val="0"/>
                <w:sz w:val="20"/>
              </w:rPr>
            </w:pPr>
            <w:r w:rsidRPr="001F01A6">
              <w:rPr>
                <w:b w:val="0"/>
                <w:sz w:val="20"/>
              </w:rPr>
              <w:t>Input</w:t>
            </w:r>
          </w:p>
        </w:tc>
        <w:tc>
          <w:tcPr>
            <w:tcW w:w="3150" w:type="dxa"/>
          </w:tcPr>
          <w:p w14:paraId="1F1F7CB2" w14:textId="77777777" w:rsidR="0047121A" w:rsidRPr="001F01A6" w:rsidRDefault="0047121A" w:rsidP="00A4115C">
            <w:pPr>
              <w:suppressAutoHyphens/>
              <w:jc w:val="center"/>
              <w:rPr>
                <w:sz w:val="20"/>
              </w:rPr>
            </w:pPr>
            <w:r w:rsidRPr="001F01A6">
              <w:rPr>
                <w:sz w:val="20"/>
              </w:rPr>
              <w:t>Number of graduate nursing majors</w:t>
            </w:r>
            <w:r w:rsidRPr="001F01A6">
              <w:rPr>
                <w:sz w:val="20"/>
                <w:vertAlign w:val="superscript"/>
              </w:rPr>
              <w:t>3</w:t>
            </w:r>
          </w:p>
        </w:tc>
        <w:tc>
          <w:tcPr>
            <w:tcW w:w="1170" w:type="dxa"/>
          </w:tcPr>
          <w:p w14:paraId="15FF8CBD" w14:textId="77777777" w:rsidR="0047121A" w:rsidRPr="001F01A6" w:rsidRDefault="0047121A" w:rsidP="00A4115C">
            <w:pPr>
              <w:suppressAutoHyphens/>
              <w:jc w:val="center"/>
              <w:rPr>
                <w:sz w:val="20"/>
              </w:rPr>
            </w:pPr>
            <w:r w:rsidRPr="001F01A6">
              <w:rPr>
                <w:sz w:val="20"/>
              </w:rPr>
              <w:t>20</w:t>
            </w:r>
          </w:p>
        </w:tc>
        <w:tc>
          <w:tcPr>
            <w:tcW w:w="1170" w:type="dxa"/>
          </w:tcPr>
          <w:p w14:paraId="07C6DA7F" w14:textId="77777777" w:rsidR="0047121A" w:rsidRPr="001F01A6" w:rsidRDefault="0047121A" w:rsidP="00A4115C">
            <w:pPr>
              <w:suppressAutoHyphens/>
              <w:jc w:val="center"/>
              <w:rPr>
                <w:sz w:val="20"/>
              </w:rPr>
            </w:pPr>
            <w:r w:rsidRPr="001F01A6">
              <w:rPr>
                <w:sz w:val="20"/>
              </w:rPr>
              <w:t>27</w:t>
            </w:r>
          </w:p>
        </w:tc>
        <w:tc>
          <w:tcPr>
            <w:tcW w:w="1170" w:type="dxa"/>
          </w:tcPr>
          <w:p w14:paraId="72B8F793" w14:textId="77777777" w:rsidR="0047121A" w:rsidRPr="001F01A6" w:rsidRDefault="0047121A" w:rsidP="00A4115C">
            <w:pPr>
              <w:jc w:val="center"/>
              <w:rPr>
                <w:sz w:val="20"/>
              </w:rPr>
            </w:pPr>
            <w:r w:rsidRPr="001F01A6">
              <w:rPr>
                <w:sz w:val="20"/>
              </w:rPr>
              <w:t>37</w:t>
            </w:r>
          </w:p>
        </w:tc>
        <w:tc>
          <w:tcPr>
            <w:tcW w:w="1170" w:type="dxa"/>
          </w:tcPr>
          <w:p w14:paraId="3CFEC082" w14:textId="77777777" w:rsidR="0047121A" w:rsidRPr="000D7FE4" w:rsidRDefault="0047121A" w:rsidP="00A4115C">
            <w:pPr>
              <w:suppressAutoHyphens/>
              <w:jc w:val="center"/>
              <w:rPr>
                <w:sz w:val="20"/>
              </w:rPr>
            </w:pPr>
            <w:r w:rsidRPr="000D7FE4">
              <w:rPr>
                <w:sz w:val="20"/>
              </w:rPr>
              <w:t>4</w:t>
            </w:r>
            <w:r w:rsidR="007C2D62">
              <w:rPr>
                <w:sz w:val="20"/>
              </w:rPr>
              <w:t>2</w:t>
            </w:r>
          </w:p>
          <w:p w14:paraId="142C09AE" w14:textId="77777777" w:rsidR="0047121A" w:rsidRPr="001F01A6" w:rsidRDefault="0047121A" w:rsidP="00A4115C">
            <w:pPr>
              <w:suppressAutoHyphens/>
              <w:jc w:val="center"/>
              <w:rPr>
                <w:sz w:val="20"/>
              </w:rPr>
            </w:pPr>
          </w:p>
        </w:tc>
        <w:tc>
          <w:tcPr>
            <w:tcW w:w="1170" w:type="dxa"/>
          </w:tcPr>
          <w:p w14:paraId="787C1281" w14:textId="77777777" w:rsidR="0047121A" w:rsidRPr="001F01A6" w:rsidRDefault="007C2D62" w:rsidP="00CA1D6E">
            <w:pPr>
              <w:suppressAutoHyphens/>
              <w:jc w:val="center"/>
              <w:rPr>
                <w:sz w:val="20"/>
              </w:rPr>
            </w:pPr>
            <w:r>
              <w:rPr>
                <w:sz w:val="20"/>
              </w:rPr>
              <w:t>4</w:t>
            </w:r>
            <w:r w:rsidR="00D7790D">
              <w:rPr>
                <w:sz w:val="20"/>
              </w:rPr>
              <w:t>9</w:t>
            </w:r>
          </w:p>
        </w:tc>
        <w:tc>
          <w:tcPr>
            <w:tcW w:w="1170" w:type="dxa"/>
          </w:tcPr>
          <w:p w14:paraId="4ADEC4D7" w14:textId="77777777" w:rsidR="0047121A" w:rsidRPr="001F01A6" w:rsidRDefault="00D7790D" w:rsidP="00CA1D6E">
            <w:pPr>
              <w:suppressAutoHyphens/>
              <w:jc w:val="center"/>
              <w:rPr>
                <w:sz w:val="20"/>
              </w:rPr>
            </w:pPr>
            <w:r>
              <w:rPr>
                <w:sz w:val="20"/>
              </w:rPr>
              <w:t>59</w:t>
            </w:r>
          </w:p>
        </w:tc>
      </w:tr>
    </w:tbl>
    <w:p w14:paraId="27EE585D" w14:textId="77777777" w:rsidR="00FE7896" w:rsidRPr="001F01A6" w:rsidRDefault="00FE7896" w:rsidP="008742FE">
      <w:pPr>
        <w:widowControl/>
        <w:tabs>
          <w:tab w:val="left" w:pos="1710"/>
        </w:tabs>
        <w:ind w:left="1710" w:hanging="1350"/>
        <w:jc w:val="both"/>
        <w:rPr>
          <w:sz w:val="20"/>
        </w:rPr>
      </w:pPr>
    </w:p>
    <w:p w14:paraId="7DC0A1DA" w14:textId="77777777" w:rsidR="00A4115C" w:rsidRPr="001F01A6" w:rsidRDefault="00A4115C" w:rsidP="00585C01">
      <w:pPr>
        <w:rPr>
          <w:sz w:val="20"/>
        </w:rPr>
      </w:pPr>
    </w:p>
    <w:p w14:paraId="620E1FA1" w14:textId="77777777" w:rsidR="00A4115C" w:rsidRPr="001F01A6" w:rsidRDefault="00A4115C" w:rsidP="00585C01">
      <w:pPr>
        <w:rPr>
          <w:sz w:val="20"/>
        </w:rPr>
      </w:pPr>
    </w:p>
    <w:tbl>
      <w:tblPr>
        <w:tblpPr w:leftFromText="180" w:rightFromText="180" w:vertAnchor="text" w:horzAnchor="margin" w:tblpX="468" w:tblpY="62"/>
        <w:tblW w:w="11358" w:type="dxa"/>
        <w:tblLayout w:type="fixed"/>
        <w:tblLook w:val="0000" w:firstRow="0" w:lastRow="0" w:firstColumn="0" w:lastColumn="0" w:noHBand="0" w:noVBand="0"/>
      </w:tblPr>
      <w:tblGrid>
        <w:gridCol w:w="1188"/>
        <w:gridCol w:w="3150"/>
        <w:gridCol w:w="1170"/>
        <w:gridCol w:w="1170"/>
        <w:gridCol w:w="1170"/>
        <w:gridCol w:w="1170"/>
        <w:gridCol w:w="1170"/>
        <w:gridCol w:w="1170"/>
      </w:tblGrid>
      <w:tr w:rsidR="0047121A" w:rsidRPr="001F01A6" w14:paraId="760E3CBB" w14:textId="77777777" w:rsidTr="0047121A">
        <w:tblPrEx>
          <w:tblCellMar>
            <w:top w:w="0" w:type="dxa"/>
            <w:bottom w:w="0" w:type="dxa"/>
          </w:tblCellMar>
        </w:tblPrEx>
        <w:trPr>
          <w:trHeight w:val="270"/>
        </w:trPr>
        <w:tc>
          <w:tcPr>
            <w:tcW w:w="1188" w:type="dxa"/>
          </w:tcPr>
          <w:p w14:paraId="52E05202" w14:textId="77777777" w:rsidR="0047121A" w:rsidRPr="001F01A6" w:rsidRDefault="0047121A" w:rsidP="00A4115C">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b w:val="0"/>
                <w:sz w:val="20"/>
              </w:rPr>
            </w:pPr>
            <w:r w:rsidRPr="001F01A6">
              <w:rPr>
                <w:b w:val="0"/>
                <w:sz w:val="20"/>
              </w:rPr>
              <w:t>Output</w:t>
            </w:r>
          </w:p>
        </w:tc>
        <w:tc>
          <w:tcPr>
            <w:tcW w:w="3150" w:type="dxa"/>
          </w:tcPr>
          <w:p w14:paraId="02B6ED7F" w14:textId="77777777" w:rsidR="0047121A" w:rsidRPr="001F01A6" w:rsidRDefault="0047121A" w:rsidP="00A4115C">
            <w:pPr>
              <w:suppressAutoHyphens/>
              <w:rPr>
                <w:sz w:val="20"/>
              </w:rPr>
            </w:pPr>
            <w:r w:rsidRPr="001F01A6">
              <w:rPr>
                <w:sz w:val="20"/>
              </w:rPr>
              <w:t>Number of graduate degree recipients in nursing</w:t>
            </w:r>
          </w:p>
        </w:tc>
        <w:tc>
          <w:tcPr>
            <w:tcW w:w="1170" w:type="dxa"/>
          </w:tcPr>
          <w:p w14:paraId="3EC1E1A6" w14:textId="77777777" w:rsidR="0047121A" w:rsidRPr="001F01A6" w:rsidRDefault="0047121A" w:rsidP="00A4115C">
            <w:pPr>
              <w:suppressAutoHyphens/>
              <w:jc w:val="center"/>
              <w:rPr>
                <w:sz w:val="20"/>
              </w:rPr>
            </w:pPr>
            <w:r w:rsidRPr="001F01A6">
              <w:rPr>
                <w:sz w:val="20"/>
              </w:rPr>
              <w:t>8</w:t>
            </w:r>
          </w:p>
        </w:tc>
        <w:tc>
          <w:tcPr>
            <w:tcW w:w="1170" w:type="dxa"/>
          </w:tcPr>
          <w:p w14:paraId="2EFA8635" w14:textId="77777777" w:rsidR="0047121A" w:rsidRPr="001F01A6" w:rsidRDefault="0047121A" w:rsidP="00A4115C">
            <w:pPr>
              <w:suppressAutoHyphens/>
              <w:jc w:val="center"/>
              <w:rPr>
                <w:sz w:val="20"/>
              </w:rPr>
            </w:pPr>
            <w:r w:rsidRPr="001F01A6">
              <w:rPr>
                <w:sz w:val="20"/>
              </w:rPr>
              <w:t>4</w:t>
            </w:r>
          </w:p>
        </w:tc>
        <w:tc>
          <w:tcPr>
            <w:tcW w:w="1170" w:type="dxa"/>
          </w:tcPr>
          <w:p w14:paraId="5BFB751F" w14:textId="77777777" w:rsidR="0047121A" w:rsidRPr="001F01A6" w:rsidRDefault="0047121A" w:rsidP="00A4115C">
            <w:pPr>
              <w:jc w:val="center"/>
              <w:rPr>
                <w:sz w:val="20"/>
              </w:rPr>
            </w:pPr>
            <w:r w:rsidRPr="001F01A6">
              <w:rPr>
                <w:sz w:val="20"/>
              </w:rPr>
              <w:t>4</w:t>
            </w:r>
          </w:p>
        </w:tc>
        <w:tc>
          <w:tcPr>
            <w:tcW w:w="1170" w:type="dxa"/>
          </w:tcPr>
          <w:p w14:paraId="58C9063E" w14:textId="77777777" w:rsidR="0047121A" w:rsidRPr="001F01A6" w:rsidRDefault="0047121A" w:rsidP="00223B24">
            <w:pPr>
              <w:suppressAutoHyphens/>
              <w:jc w:val="center"/>
              <w:rPr>
                <w:sz w:val="20"/>
              </w:rPr>
            </w:pPr>
            <w:r w:rsidRPr="001F01A6">
              <w:rPr>
                <w:sz w:val="20"/>
              </w:rPr>
              <w:t>14</w:t>
            </w:r>
          </w:p>
        </w:tc>
        <w:tc>
          <w:tcPr>
            <w:tcW w:w="1170" w:type="dxa"/>
          </w:tcPr>
          <w:p w14:paraId="33016C83" w14:textId="77777777" w:rsidR="0047121A" w:rsidRPr="001F01A6" w:rsidRDefault="0047121A" w:rsidP="00A4115C">
            <w:pPr>
              <w:suppressAutoHyphens/>
              <w:jc w:val="center"/>
              <w:rPr>
                <w:sz w:val="20"/>
              </w:rPr>
            </w:pPr>
            <w:r w:rsidRPr="001F01A6">
              <w:rPr>
                <w:sz w:val="20"/>
              </w:rPr>
              <w:t>8</w:t>
            </w:r>
          </w:p>
        </w:tc>
        <w:tc>
          <w:tcPr>
            <w:tcW w:w="1170" w:type="dxa"/>
          </w:tcPr>
          <w:p w14:paraId="58ACBE52" w14:textId="77777777" w:rsidR="0047121A" w:rsidRPr="001F01A6" w:rsidRDefault="0047121A" w:rsidP="00A4115C">
            <w:pPr>
              <w:suppressAutoHyphens/>
              <w:jc w:val="center"/>
              <w:rPr>
                <w:sz w:val="20"/>
              </w:rPr>
            </w:pPr>
            <w:r>
              <w:rPr>
                <w:sz w:val="20"/>
              </w:rPr>
              <w:t>16</w:t>
            </w:r>
          </w:p>
        </w:tc>
      </w:tr>
    </w:tbl>
    <w:p w14:paraId="1B3CD62F" w14:textId="77777777" w:rsidR="00A4115C" w:rsidRPr="001F01A6" w:rsidRDefault="00A4115C" w:rsidP="00585C01">
      <w:pPr>
        <w:rPr>
          <w:sz w:val="20"/>
        </w:rPr>
      </w:pPr>
    </w:p>
    <w:p w14:paraId="07F1937B" w14:textId="77777777" w:rsidR="00A4115C" w:rsidRPr="001F01A6" w:rsidRDefault="00A4115C" w:rsidP="00585C01">
      <w:pPr>
        <w:rPr>
          <w:sz w:val="20"/>
        </w:rPr>
      </w:pPr>
    </w:p>
    <w:p w14:paraId="59B39752" w14:textId="77777777" w:rsidR="00A4115C" w:rsidRPr="001F01A6" w:rsidRDefault="00A4115C" w:rsidP="00585C01">
      <w:pPr>
        <w:rPr>
          <w:sz w:val="20"/>
        </w:rPr>
      </w:pPr>
    </w:p>
    <w:tbl>
      <w:tblPr>
        <w:tblpPr w:leftFromText="180" w:rightFromText="180" w:vertAnchor="text" w:horzAnchor="margin" w:tblpX="468" w:tblpY="62"/>
        <w:tblW w:w="13140" w:type="dxa"/>
        <w:tblLayout w:type="fixed"/>
        <w:tblLook w:val="0000" w:firstRow="0" w:lastRow="0" w:firstColumn="0" w:lastColumn="0" w:noHBand="0" w:noVBand="0"/>
      </w:tblPr>
      <w:tblGrid>
        <w:gridCol w:w="1188"/>
        <w:gridCol w:w="3150"/>
        <w:gridCol w:w="1152"/>
        <w:gridCol w:w="18"/>
        <w:gridCol w:w="1152"/>
        <w:gridCol w:w="18"/>
        <w:gridCol w:w="1152"/>
        <w:gridCol w:w="18"/>
        <w:gridCol w:w="1152"/>
        <w:gridCol w:w="18"/>
        <w:gridCol w:w="882"/>
        <w:gridCol w:w="648"/>
        <w:gridCol w:w="252"/>
        <w:gridCol w:w="648"/>
        <w:gridCol w:w="522"/>
        <w:gridCol w:w="378"/>
        <w:gridCol w:w="792"/>
      </w:tblGrid>
      <w:tr w:rsidR="0047121A" w:rsidRPr="001F01A6" w14:paraId="42B92DE4" w14:textId="77777777" w:rsidTr="0047121A">
        <w:tblPrEx>
          <w:tblCellMar>
            <w:top w:w="0" w:type="dxa"/>
            <w:bottom w:w="0" w:type="dxa"/>
          </w:tblCellMar>
        </w:tblPrEx>
        <w:trPr>
          <w:gridAfter w:val="1"/>
          <w:wAfter w:w="792" w:type="dxa"/>
          <w:trHeight w:val="437"/>
        </w:trPr>
        <w:tc>
          <w:tcPr>
            <w:tcW w:w="1188" w:type="dxa"/>
          </w:tcPr>
          <w:p w14:paraId="59C1031F" w14:textId="77777777" w:rsidR="0047121A" w:rsidRPr="001F01A6" w:rsidRDefault="0047121A" w:rsidP="00A4115C">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b w:val="0"/>
                <w:sz w:val="20"/>
              </w:rPr>
            </w:pPr>
            <w:r w:rsidRPr="001F01A6">
              <w:rPr>
                <w:b w:val="0"/>
                <w:sz w:val="20"/>
              </w:rPr>
              <w:t>Output</w:t>
            </w:r>
          </w:p>
        </w:tc>
        <w:tc>
          <w:tcPr>
            <w:tcW w:w="3150" w:type="dxa"/>
            <w:vAlign w:val="bottom"/>
          </w:tcPr>
          <w:p w14:paraId="5CA1B066" w14:textId="77777777" w:rsidR="0047121A" w:rsidRPr="001F01A6" w:rsidRDefault="0047121A" w:rsidP="00BA3780">
            <w:pPr>
              <w:suppressAutoHyphens/>
              <w:rPr>
                <w:sz w:val="20"/>
              </w:rPr>
            </w:pPr>
            <w:r w:rsidRPr="001F01A6">
              <w:rPr>
                <w:sz w:val="20"/>
              </w:rPr>
              <w:t xml:space="preserve">Total number of Nursing degree recipients </w:t>
            </w:r>
          </w:p>
        </w:tc>
        <w:tc>
          <w:tcPr>
            <w:tcW w:w="1170" w:type="dxa"/>
            <w:gridSpan w:val="2"/>
          </w:tcPr>
          <w:p w14:paraId="41F927B9" w14:textId="77777777" w:rsidR="0047121A" w:rsidRPr="001F01A6" w:rsidRDefault="0047121A" w:rsidP="00A4115C">
            <w:pPr>
              <w:suppressAutoHyphens/>
              <w:jc w:val="center"/>
              <w:rPr>
                <w:sz w:val="20"/>
              </w:rPr>
            </w:pPr>
            <w:r w:rsidRPr="001F01A6">
              <w:rPr>
                <w:sz w:val="20"/>
              </w:rPr>
              <w:t>84</w:t>
            </w:r>
          </w:p>
        </w:tc>
        <w:tc>
          <w:tcPr>
            <w:tcW w:w="1170" w:type="dxa"/>
            <w:gridSpan w:val="2"/>
          </w:tcPr>
          <w:p w14:paraId="0E75C8EA" w14:textId="77777777" w:rsidR="0047121A" w:rsidRPr="001F01A6" w:rsidRDefault="0047121A" w:rsidP="00A4115C">
            <w:pPr>
              <w:suppressAutoHyphens/>
              <w:jc w:val="center"/>
              <w:rPr>
                <w:sz w:val="20"/>
              </w:rPr>
            </w:pPr>
            <w:r w:rsidRPr="001F01A6">
              <w:rPr>
                <w:sz w:val="20"/>
              </w:rPr>
              <w:t>87</w:t>
            </w:r>
          </w:p>
        </w:tc>
        <w:tc>
          <w:tcPr>
            <w:tcW w:w="1170" w:type="dxa"/>
            <w:gridSpan w:val="2"/>
          </w:tcPr>
          <w:p w14:paraId="57A97147" w14:textId="77777777" w:rsidR="0047121A" w:rsidRPr="001F01A6" w:rsidRDefault="0047121A" w:rsidP="00A4115C">
            <w:pPr>
              <w:jc w:val="center"/>
              <w:rPr>
                <w:sz w:val="20"/>
              </w:rPr>
            </w:pPr>
            <w:r w:rsidRPr="001F01A6">
              <w:rPr>
                <w:sz w:val="20"/>
              </w:rPr>
              <w:t>74</w:t>
            </w:r>
          </w:p>
        </w:tc>
        <w:tc>
          <w:tcPr>
            <w:tcW w:w="1170" w:type="dxa"/>
            <w:gridSpan w:val="2"/>
          </w:tcPr>
          <w:p w14:paraId="1A6B9A72" w14:textId="77777777" w:rsidR="0047121A" w:rsidRPr="001F01A6" w:rsidRDefault="0047121A" w:rsidP="00A4115C">
            <w:pPr>
              <w:suppressAutoHyphens/>
              <w:jc w:val="center"/>
              <w:rPr>
                <w:sz w:val="20"/>
              </w:rPr>
            </w:pPr>
            <w:r w:rsidRPr="001F01A6">
              <w:rPr>
                <w:sz w:val="20"/>
              </w:rPr>
              <w:t>98</w:t>
            </w:r>
          </w:p>
        </w:tc>
        <w:tc>
          <w:tcPr>
            <w:tcW w:w="1530" w:type="dxa"/>
            <w:gridSpan w:val="2"/>
          </w:tcPr>
          <w:p w14:paraId="2D10BF3D" w14:textId="77777777" w:rsidR="0047121A" w:rsidRPr="001F01A6" w:rsidRDefault="00E2086A" w:rsidP="0047121A">
            <w:pPr>
              <w:suppressAutoHyphens/>
              <w:ind w:right="432"/>
              <w:jc w:val="center"/>
              <w:rPr>
                <w:sz w:val="20"/>
              </w:rPr>
            </w:pPr>
            <w:r>
              <w:rPr>
                <w:sz w:val="20"/>
              </w:rPr>
              <w:t>95</w:t>
            </w:r>
          </w:p>
        </w:tc>
        <w:tc>
          <w:tcPr>
            <w:tcW w:w="900" w:type="dxa"/>
            <w:gridSpan w:val="2"/>
          </w:tcPr>
          <w:p w14:paraId="768546FF" w14:textId="77777777" w:rsidR="0047121A" w:rsidRDefault="0047121A" w:rsidP="0047121A">
            <w:pPr>
              <w:suppressAutoHyphens/>
              <w:rPr>
                <w:sz w:val="20"/>
              </w:rPr>
            </w:pPr>
            <w:r>
              <w:rPr>
                <w:sz w:val="20"/>
              </w:rPr>
              <w:t>107</w:t>
            </w:r>
          </w:p>
        </w:tc>
        <w:tc>
          <w:tcPr>
            <w:tcW w:w="900" w:type="dxa"/>
            <w:gridSpan w:val="2"/>
          </w:tcPr>
          <w:p w14:paraId="72019B8C" w14:textId="77777777" w:rsidR="0047121A" w:rsidRPr="001F01A6" w:rsidRDefault="0047121A" w:rsidP="0047121A">
            <w:pPr>
              <w:suppressAutoHyphens/>
              <w:jc w:val="center"/>
              <w:rPr>
                <w:sz w:val="20"/>
              </w:rPr>
            </w:pPr>
            <w:r>
              <w:rPr>
                <w:sz w:val="20"/>
              </w:rPr>
              <w:t xml:space="preserve">    </w:t>
            </w:r>
          </w:p>
        </w:tc>
      </w:tr>
      <w:tr w:rsidR="0047121A" w:rsidRPr="007172F1" w14:paraId="7452F1A7" w14:textId="77777777" w:rsidTr="0047121A">
        <w:tblPrEx>
          <w:tblCellMar>
            <w:top w:w="0" w:type="dxa"/>
            <w:bottom w:w="0" w:type="dxa"/>
          </w:tblCellMar>
        </w:tblPrEx>
        <w:trPr>
          <w:trHeight w:val="437"/>
        </w:trPr>
        <w:tc>
          <w:tcPr>
            <w:tcW w:w="1188" w:type="dxa"/>
          </w:tcPr>
          <w:p w14:paraId="55224A2F" w14:textId="77777777" w:rsidR="0047121A" w:rsidRDefault="0047121A" w:rsidP="00A4115C">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p>
        </w:tc>
        <w:tc>
          <w:tcPr>
            <w:tcW w:w="3150" w:type="dxa"/>
            <w:vAlign w:val="bottom"/>
          </w:tcPr>
          <w:p w14:paraId="1F84DC6C" w14:textId="77777777" w:rsidR="0047121A" w:rsidRDefault="0047121A" w:rsidP="00A4115C">
            <w:pPr>
              <w:suppressAutoHyphens/>
              <w:rPr>
                <w:sz w:val="20"/>
              </w:rPr>
            </w:pPr>
          </w:p>
        </w:tc>
        <w:tc>
          <w:tcPr>
            <w:tcW w:w="1152" w:type="dxa"/>
          </w:tcPr>
          <w:p w14:paraId="4708CB90" w14:textId="77777777" w:rsidR="0047121A" w:rsidRDefault="0047121A" w:rsidP="00A4115C">
            <w:pPr>
              <w:suppressAutoHyphens/>
              <w:jc w:val="center"/>
              <w:rPr>
                <w:sz w:val="20"/>
              </w:rPr>
            </w:pPr>
          </w:p>
        </w:tc>
        <w:tc>
          <w:tcPr>
            <w:tcW w:w="1170" w:type="dxa"/>
            <w:gridSpan w:val="2"/>
          </w:tcPr>
          <w:p w14:paraId="37763339" w14:textId="77777777" w:rsidR="0047121A" w:rsidRDefault="0047121A" w:rsidP="00A4115C">
            <w:pPr>
              <w:suppressAutoHyphens/>
              <w:jc w:val="center"/>
              <w:rPr>
                <w:sz w:val="20"/>
              </w:rPr>
            </w:pPr>
          </w:p>
        </w:tc>
        <w:tc>
          <w:tcPr>
            <w:tcW w:w="1170" w:type="dxa"/>
            <w:gridSpan w:val="2"/>
          </w:tcPr>
          <w:p w14:paraId="4C97D85D" w14:textId="77777777" w:rsidR="0047121A" w:rsidRDefault="0047121A" w:rsidP="00A4115C">
            <w:pPr>
              <w:suppressAutoHyphens/>
              <w:jc w:val="center"/>
              <w:rPr>
                <w:sz w:val="20"/>
              </w:rPr>
            </w:pPr>
          </w:p>
        </w:tc>
        <w:tc>
          <w:tcPr>
            <w:tcW w:w="1170" w:type="dxa"/>
            <w:gridSpan w:val="2"/>
          </w:tcPr>
          <w:p w14:paraId="78544CA3" w14:textId="77777777" w:rsidR="0047121A" w:rsidRDefault="0047121A" w:rsidP="00A4115C">
            <w:pPr>
              <w:jc w:val="center"/>
              <w:rPr>
                <w:sz w:val="20"/>
              </w:rPr>
            </w:pPr>
          </w:p>
        </w:tc>
        <w:tc>
          <w:tcPr>
            <w:tcW w:w="900" w:type="dxa"/>
            <w:gridSpan w:val="2"/>
          </w:tcPr>
          <w:p w14:paraId="550CF5C9" w14:textId="77777777" w:rsidR="0047121A" w:rsidRDefault="0047121A" w:rsidP="00A4115C">
            <w:pPr>
              <w:suppressAutoHyphens/>
              <w:jc w:val="center"/>
              <w:rPr>
                <w:sz w:val="20"/>
              </w:rPr>
            </w:pPr>
          </w:p>
        </w:tc>
        <w:tc>
          <w:tcPr>
            <w:tcW w:w="900" w:type="dxa"/>
            <w:gridSpan w:val="2"/>
          </w:tcPr>
          <w:p w14:paraId="6D3E0180" w14:textId="77777777" w:rsidR="0047121A" w:rsidRDefault="0047121A" w:rsidP="00A4115C">
            <w:pPr>
              <w:suppressAutoHyphens/>
              <w:jc w:val="center"/>
              <w:rPr>
                <w:sz w:val="20"/>
              </w:rPr>
            </w:pPr>
          </w:p>
        </w:tc>
        <w:tc>
          <w:tcPr>
            <w:tcW w:w="1170" w:type="dxa"/>
            <w:gridSpan w:val="2"/>
          </w:tcPr>
          <w:p w14:paraId="7ECC7166" w14:textId="77777777" w:rsidR="0047121A" w:rsidRDefault="0047121A" w:rsidP="00A4115C">
            <w:pPr>
              <w:suppressAutoHyphens/>
              <w:jc w:val="center"/>
              <w:rPr>
                <w:sz w:val="20"/>
              </w:rPr>
            </w:pPr>
          </w:p>
        </w:tc>
        <w:tc>
          <w:tcPr>
            <w:tcW w:w="1170" w:type="dxa"/>
            <w:gridSpan w:val="2"/>
          </w:tcPr>
          <w:p w14:paraId="04275776" w14:textId="77777777" w:rsidR="0047121A" w:rsidRDefault="0047121A" w:rsidP="00A4115C">
            <w:pPr>
              <w:suppressAutoHyphens/>
              <w:jc w:val="center"/>
              <w:rPr>
                <w:sz w:val="20"/>
              </w:rPr>
            </w:pPr>
          </w:p>
        </w:tc>
      </w:tr>
    </w:tbl>
    <w:p w14:paraId="2D0D7ED1" w14:textId="77777777" w:rsidR="00A4115C" w:rsidRDefault="00A4115C" w:rsidP="00585C01">
      <w:pPr>
        <w:rPr>
          <w:b/>
          <w:sz w:val="20"/>
        </w:rPr>
      </w:pPr>
    </w:p>
    <w:p w14:paraId="79C6E82C" w14:textId="77777777" w:rsidR="00A4115C" w:rsidRDefault="00A4115C" w:rsidP="00585C01">
      <w:pPr>
        <w:rPr>
          <w:b/>
          <w:sz w:val="20"/>
        </w:rPr>
      </w:pPr>
    </w:p>
    <w:p w14:paraId="5EC5CE6D" w14:textId="77777777" w:rsidR="00A4115C" w:rsidRDefault="00A4115C" w:rsidP="00585C01">
      <w:pPr>
        <w:rPr>
          <w:b/>
          <w:sz w:val="20"/>
        </w:rPr>
      </w:pPr>
    </w:p>
    <w:p w14:paraId="658D21E8" w14:textId="77777777" w:rsidR="00A4115C" w:rsidRDefault="00A4115C" w:rsidP="00585C01">
      <w:pPr>
        <w:rPr>
          <w:b/>
          <w:sz w:val="20"/>
        </w:rPr>
      </w:pPr>
    </w:p>
    <w:p w14:paraId="725ABA36" w14:textId="77777777" w:rsidR="00A4115C" w:rsidRDefault="00A4115C" w:rsidP="00585C01">
      <w:pPr>
        <w:rPr>
          <w:b/>
          <w:sz w:val="20"/>
        </w:rPr>
      </w:pPr>
    </w:p>
    <w:p w14:paraId="1DA6B044" w14:textId="77777777" w:rsidR="00A4115C" w:rsidRDefault="00A4115C" w:rsidP="00585C01">
      <w:pPr>
        <w:rPr>
          <w:b/>
          <w:sz w:val="20"/>
        </w:rPr>
      </w:pPr>
    </w:p>
    <w:p w14:paraId="1EC4E3EB" w14:textId="77777777" w:rsidR="00A4115C" w:rsidRDefault="00A4115C" w:rsidP="00585C01">
      <w:pPr>
        <w:rPr>
          <w:b/>
          <w:sz w:val="20"/>
        </w:rPr>
      </w:pPr>
    </w:p>
    <w:p w14:paraId="02685F3A" w14:textId="77777777" w:rsidR="00A4115C" w:rsidRDefault="00A4115C" w:rsidP="00585C01">
      <w:pPr>
        <w:rPr>
          <w:b/>
          <w:sz w:val="20"/>
        </w:rPr>
      </w:pPr>
    </w:p>
    <w:p w14:paraId="7919F807" w14:textId="77777777" w:rsidR="00A4115C" w:rsidRDefault="00A4115C" w:rsidP="00585C01">
      <w:pPr>
        <w:rPr>
          <w:b/>
          <w:sz w:val="20"/>
        </w:rPr>
      </w:pPr>
    </w:p>
    <w:p w14:paraId="744D1B14" w14:textId="77777777" w:rsidR="00F4667E" w:rsidRDefault="00F4667E" w:rsidP="00585C01">
      <w:pPr>
        <w:rPr>
          <w:b/>
          <w:sz w:val="20"/>
        </w:rPr>
      </w:pPr>
    </w:p>
    <w:p w14:paraId="4D14CCD2" w14:textId="77777777" w:rsidR="00585C01" w:rsidRDefault="00585C01" w:rsidP="00585C01">
      <w:pPr>
        <w:rPr>
          <w:b/>
          <w:sz w:val="20"/>
        </w:rPr>
      </w:pPr>
      <w:r>
        <w:rPr>
          <w:b/>
          <w:sz w:val="20"/>
        </w:rPr>
        <w:t>Goal 3.</w:t>
      </w:r>
      <w:r w:rsidR="00E33E4E">
        <w:rPr>
          <w:b/>
          <w:sz w:val="20"/>
        </w:rPr>
        <w:t xml:space="preserve"> </w:t>
      </w:r>
      <w:r>
        <w:rPr>
          <w:sz w:val="20"/>
        </w:rPr>
        <w:t>The University will foster inclusiveness as well as cultural and intellectual pluralism.</w:t>
      </w:r>
    </w:p>
    <w:p w14:paraId="32026630" w14:textId="77777777" w:rsidR="00585C01" w:rsidRDefault="00585C01" w:rsidP="00585C01">
      <w:pPr>
        <w:tabs>
          <w:tab w:val="left" w:pos="1710"/>
        </w:tabs>
        <w:ind w:left="360"/>
        <w:rPr>
          <w:b/>
          <w:sz w:val="20"/>
        </w:rPr>
      </w:pPr>
    </w:p>
    <w:p w14:paraId="2117075F" w14:textId="77777777" w:rsidR="00091872" w:rsidRDefault="00585C01" w:rsidP="00091872">
      <w:pPr>
        <w:widowControl/>
        <w:tabs>
          <w:tab w:val="left" w:pos="1710"/>
        </w:tabs>
        <w:ind w:left="1710" w:hanging="1350"/>
        <w:jc w:val="both"/>
        <w:rPr>
          <w:bCs/>
          <w:sz w:val="20"/>
        </w:rPr>
      </w:pPr>
      <w:r>
        <w:rPr>
          <w:b/>
          <w:sz w:val="20"/>
        </w:rPr>
        <w:t>Objective 3.1</w:t>
      </w:r>
      <w:r>
        <w:rPr>
          <w:b/>
          <w:sz w:val="20"/>
        </w:rPr>
        <w:tab/>
      </w:r>
      <w:r>
        <w:rPr>
          <w:bCs/>
          <w:sz w:val="20"/>
        </w:rPr>
        <w:t xml:space="preserve">Increase the percentage of African-American </w:t>
      </w:r>
      <w:r w:rsidR="007F54F7">
        <w:rPr>
          <w:bCs/>
          <w:sz w:val="20"/>
        </w:rPr>
        <w:t>undergraduates from 11.7</w:t>
      </w:r>
      <w:r w:rsidR="003235E3">
        <w:rPr>
          <w:bCs/>
          <w:sz w:val="20"/>
        </w:rPr>
        <w:t xml:space="preserve">% in 2009 to </w:t>
      </w:r>
      <w:r w:rsidR="00D67803">
        <w:rPr>
          <w:bCs/>
          <w:sz w:val="20"/>
        </w:rPr>
        <w:t>12.5</w:t>
      </w:r>
      <w:r w:rsidR="00FC7719">
        <w:rPr>
          <w:bCs/>
          <w:sz w:val="20"/>
        </w:rPr>
        <w:t>% in 2014</w:t>
      </w:r>
      <w:r>
        <w:rPr>
          <w:bCs/>
          <w:sz w:val="20"/>
        </w:rPr>
        <w:t>.</w:t>
      </w:r>
    </w:p>
    <w:p w14:paraId="0B828961" w14:textId="77777777" w:rsidR="00091872" w:rsidRPr="00091872" w:rsidRDefault="00091872" w:rsidP="00091872">
      <w:pPr>
        <w:widowControl/>
        <w:tabs>
          <w:tab w:val="left" w:pos="1710"/>
        </w:tabs>
        <w:ind w:left="1710" w:hanging="1350"/>
        <w:jc w:val="both"/>
        <w:rPr>
          <w:bCs/>
          <w:sz w:val="20"/>
        </w:rPr>
      </w:pPr>
    </w:p>
    <w:tbl>
      <w:tblPr>
        <w:tblW w:w="11430" w:type="dxa"/>
        <w:tblInd w:w="468" w:type="dxa"/>
        <w:tblLayout w:type="fixed"/>
        <w:tblLook w:val="0000" w:firstRow="0" w:lastRow="0" w:firstColumn="0" w:lastColumn="0" w:noHBand="0" w:noVBand="0"/>
      </w:tblPr>
      <w:tblGrid>
        <w:gridCol w:w="1170"/>
        <w:gridCol w:w="3240"/>
        <w:gridCol w:w="1170"/>
        <w:gridCol w:w="1170"/>
        <w:gridCol w:w="1170"/>
        <w:gridCol w:w="1170"/>
        <w:gridCol w:w="1170"/>
        <w:gridCol w:w="1170"/>
      </w:tblGrid>
      <w:tr w:rsidR="0035631A" w14:paraId="6D83CE97" w14:textId="77777777" w:rsidTr="0035631A">
        <w:tblPrEx>
          <w:tblCellMar>
            <w:top w:w="0" w:type="dxa"/>
            <w:bottom w:w="0" w:type="dxa"/>
          </w:tblCellMar>
        </w:tblPrEx>
        <w:tc>
          <w:tcPr>
            <w:tcW w:w="4410" w:type="dxa"/>
            <w:gridSpan w:val="2"/>
            <w:vAlign w:val="bottom"/>
          </w:tcPr>
          <w:p w14:paraId="29DCF4C1" w14:textId="77777777" w:rsidR="0035631A" w:rsidRDefault="0035631A" w:rsidP="00051417">
            <w:pPr>
              <w:suppressAutoHyphens/>
              <w:rPr>
                <w:sz w:val="20"/>
              </w:rPr>
            </w:pPr>
            <w:r>
              <w:rPr>
                <w:b/>
                <w:bCs/>
                <w:sz w:val="20"/>
              </w:rPr>
              <w:t>Performance Measures</w:t>
            </w:r>
          </w:p>
        </w:tc>
        <w:tc>
          <w:tcPr>
            <w:tcW w:w="1170" w:type="dxa"/>
            <w:vAlign w:val="bottom"/>
          </w:tcPr>
          <w:p w14:paraId="1CA65187" w14:textId="77777777" w:rsidR="0035631A" w:rsidRPr="003A2144" w:rsidRDefault="0035631A" w:rsidP="006441A6">
            <w:pPr>
              <w:tabs>
                <w:tab w:val="left" w:pos="285"/>
                <w:tab w:val="center" w:pos="598"/>
              </w:tabs>
              <w:suppressAutoHyphens/>
              <w:jc w:val="center"/>
              <w:rPr>
                <w:b/>
                <w:color w:val="0000FF"/>
                <w:sz w:val="20"/>
              </w:rPr>
            </w:pPr>
            <w:r>
              <w:rPr>
                <w:b/>
                <w:sz w:val="20"/>
              </w:rPr>
              <w:t>2009</w:t>
            </w:r>
            <w:r w:rsidRPr="003A2144">
              <w:rPr>
                <w:b/>
                <w:sz w:val="20"/>
              </w:rPr>
              <w:t xml:space="preserve"> Actual</w:t>
            </w:r>
          </w:p>
        </w:tc>
        <w:tc>
          <w:tcPr>
            <w:tcW w:w="1170" w:type="dxa"/>
            <w:vAlign w:val="bottom"/>
          </w:tcPr>
          <w:p w14:paraId="33927179" w14:textId="77777777" w:rsidR="0035631A" w:rsidRPr="003A2144" w:rsidRDefault="0035631A" w:rsidP="00051417">
            <w:pPr>
              <w:tabs>
                <w:tab w:val="left" w:pos="285"/>
                <w:tab w:val="center" w:pos="598"/>
              </w:tabs>
              <w:suppressAutoHyphens/>
              <w:jc w:val="center"/>
              <w:rPr>
                <w:b/>
                <w:color w:val="0000FF"/>
                <w:sz w:val="20"/>
              </w:rPr>
            </w:pPr>
            <w:r>
              <w:rPr>
                <w:b/>
                <w:sz w:val="20"/>
              </w:rPr>
              <w:t>2010</w:t>
            </w:r>
            <w:r w:rsidRPr="003A2144">
              <w:rPr>
                <w:b/>
                <w:sz w:val="20"/>
              </w:rPr>
              <w:t xml:space="preserve"> Actual</w:t>
            </w:r>
          </w:p>
        </w:tc>
        <w:tc>
          <w:tcPr>
            <w:tcW w:w="1170" w:type="dxa"/>
          </w:tcPr>
          <w:p w14:paraId="14180919" w14:textId="77777777" w:rsidR="0035631A" w:rsidRPr="00986C2B" w:rsidRDefault="0035631A" w:rsidP="00E248C1">
            <w:pPr>
              <w:tabs>
                <w:tab w:val="left" w:pos="285"/>
                <w:tab w:val="center" w:pos="598"/>
              </w:tabs>
              <w:suppressAutoHyphens/>
              <w:jc w:val="center"/>
              <w:rPr>
                <w:b/>
                <w:sz w:val="20"/>
              </w:rPr>
            </w:pPr>
            <w:r>
              <w:rPr>
                <w:b/>
                <w:sz w:val="20"/>
              </w:rPr>
              <w:t>2011</w:t>
            </w:r>
            <w:r w:rsidRPr="00986C2B">
              <w:rPr>
                <w:b/>
                <w:sz w:val="20"/>
              </w:rPr>
              <w:t xml:space="preserve"> </w:t>
            </w:r>
            <w:r>
              <w:rPr>
                <w:b/>
                <w:sz w:val="20"/>
              </w:rPr>
              <w:t>Actual</w:t>
            </w:r>
          </w:p>
        </w:tc>
        <w:tc>
          <w:tcPr>
            <w:tcW w:w="1170" w:type="dxa"/>
          </w:tcPr>
          <w:p w14:paraId="7921CB43" w14:textId="77777777" w:rsidR="0035631A" w:rsidRPr="00986C2B" w:rsidRDefault="0035631A" w:rsidP="00504461">
            <w:pPr>
              <w:tabs>
                <w:tab w:val="left" w:pos="285"/>
                <w:tab w:val="center" w:pos="598"/>
              </w:tabs>
              <w:suppressAutoHyphens/>
              <w:jc w:val="center"/>
              <w:rPr>
                <w:b/>
                <w:sz w:val="20"/>
              </w:rPr>
            </w:pPr>
            <w:r>
              <w:rPr>
                <w:b/>
                <w:sz w:val="20"/>
              </w:rPr>
              <w:t>2012</w:t>
            </w:r>
            <w:r w:rsidRPr="00986C2B">
              <w:rPr>
                <w:b/>
                <w:sz w:val="20"/>
              </w:rPr>
              <w:t xml:space="preserve"> </w:t>
            </w:r>
            <w:r w:rsidR="00504461">
              <w:rPr>
                <w:b/>
                <w:sz w:val="20"/>
              </w:rPr>
              <w:t>Actual</w:t>
            </w:r>
          </w:p>
        </w:tc>
        <w:tc>
          <w:tcPr>
            <w:tcW w:w="1170" w:type="dxa"/>
          </w:tcPr>
          <w:p w14:paraId="207FB89C" w14:textId="77777777" w:rsidR="0035631A" w:rsidRDefault="0035631A" w:rsidP="00090115">
            <w:pPr>
              <w:tabs>
                <w:tab w:val="left" w:pos="285"/>
                <w:tab w:val="center" w:pos="598"/>
              </w:tabs>
              <w:suppressAutoHyphens/>
              <w:jc w:val="center"/>
              <w:rPr>
                <w:b/>
                <w:sz w:val="20"/>
              </w:rPr>
            </w:pPr>
            <w:r>
              <w:rPr>
                <w:b/>
                <w:sz w:val="20"/>
              </w:rPr>
              <w:t>2013 Estimated</w:t>
            </w:r>
          </w:p>
        </w:tc>
        <w:tc>
          <w:tcPr>
            <w:tcW w:w="1170" w:type="dxa"/>
          </w:tcPr>
          <w:p w14:paraId="5EDA0878" w14:textId="77777777" w:rsidR="0035631A" w:rsidRDefault="0035631A" w:rsidP="00090115">
            <w:pPr>
              <w:tabs>
                <w:tab w:val="left" w:pos="285"/>
                <w:tab w:val="center" w:pos="598"/>
              </w:tabs>
              <w:suppressAutoHyphens/>
              <w:jc w:val="center"/>
              <w:rPr>
                <w:b/>
                <w:sz w:val="20"/>
              </w:rPr>
            </w:pPr>
            <w:r>
              <w:rPr>
                <w:b/>
                <w:sz w:val="20"/>
              </w:rPr>
              <w:t>2014 Estimated</w:t>
            </w:r>
          </w:p>
        </w:tc>
      </w:tr>
      <w:tr w:rsidR="0035631A" w14:paraId="18A49B27" w14:textId="77777777" w:rsidTr="00853941">
        <w:tblPrEx>
          <w:tblCellMar>
            <w:top w:w="0" w:type="dxa"/>
            <w:bottom w:w="0" w:type="dxa"/>
          </w:tblCellMar>
        </w:tblPrEx>
        <w:trPr>
          <w:trHeight w:val="495"/>
        </w:trPr>
        <w:tc>
          <w:tcPr>
            <w:tcW w:w="1170" w:type="dxa"/>
            <w:vAlign w:val="bottom"/>
          </w:tcPr>
          <w:p w14:paraId="74995F61" w14:textId="77777777" w:rsidR="0035631A" w:rsidRDefault="0035631A" w:rsidP="0001434A">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rPr>
                <w:sz w:val="20"/>
              </w:rPr>
            </w:pPr>
            <w:r>
              <w:rPr>
                <w:sz w:val="20"/>
              </w:rPr>
              <w:t>Input</w:t>
            </w:r>
          </w:p>
        </w:tc>
        <w:tc>
          <w:tcPr>
            <w:tcW w:w="3240" w:type="dxa"/>
            <w:vAlign w:val="bottom"/>
          </w:tcPr>
          <w:p w14:paraId="3AECF510" w14:textId="77777777" w:rsidR="0035631A" w:rsidRDefault="0035631A" w:rsidP="0001434A">
            <w:pPr>
              <w:suppressAutoHyphens/>
              <w:rPr>
                <w:sz w:val="20"/>
                <w:vertAlign w:val="superscript"/>
              </w:rPr>
            </w:pPr>
            <w:r>
              <w:rPr>
                <w:sz w:val="20"/>
              </w:rPr>
              <w:t>Percentage of African-American undergraduates</w:t>
            </w:r>
            <w:r>
              <w:rPr>
                <w:sz w:val="20"/>
                <w:vertAlign w:val="superscript"/>
              </w:rPr>
              <w:t>4</w:t>
            </w:r>
          </w:p>
        </w:tc>
        <w:tc>
          <w:tcPr>
            <w:tcW w:w="1170" w:type="dxa"/>
            <w:vAlign w:val="bottom"/>
          </w:tcPr>
          <w:p w14:paraId="2F824526" w14:textId="77777777" w:rsidR="0035631A" w:rsidRDefault="0035631A" w:rsidP="006441A6">
            <w:pPr>
              <w:suppressAutoHyphens/>
              <w:jc w:val="center"/>
              <w:rPr>
                <w:sz w:val="20"/>
              </w:rPr>
            </w:pPr>
            <w:r>
              <w:rPr>
                <w:sz w:val="20"/>
              </w:rPr>
              <w:t>11.7%</w:t>
            </w:r>
          </w:p>
        </w:tc>
        <w:tc>
          <w:tcPr>
            <w:tcW w:w="1170" w:type="dxa"/>
            <w:vAlign w:val="bottom"/>
          </w:tcPr>
          <w:p w14:paraId="33A39095" w14:textId="77777777" w:rsidR="0035631A" w:rsidRPr="000B1917" w:rsidRDefault="0035631A" w:rsidP="00C238B5">
            <w:pPr>
              <w:tabs>
                <w:tab w:val="left" w:pos="285"/>
                <w:tab w:val="center" w:pos="598"/>
              </w:tabs>
              <w:suppressAutoHyphens/>
              <w:jc w:val="center"/>
              <w:rPr>
                <w:sz w:val="20"/>
              </w:rPr>
            </w:pPr>
            <w:r>
              <w:rPr>
                <w:sz w:val="20"/>
              </w:rPr>
              <w:t>11.9</w:t>
            </w:r>
            <w:r w:rsidRPr="000B1917">
              <w:rPr>
                <w:sz w:val="20"/>
              </w:rPr>
              <w:t>%</w:t>
            </w:r>
          </w:p>
        </w:tc>
        <w:tc>
          <w:tcPr>
            <w:tcW w:w="1170" w:type="dxa"/>
          </w:tcPr>
          <w:p w14:paraId="24EE6C70" w14:textId="77777777" w:rsidR="0035631A" w:rsidRDefault="0035631A" w:rsidP="00C238B5">
            <w:pPr>
              <w:suppressAutoHyphens/>
              <w:jc w:val="center"/>
              <w:rPr>
                <w:sz w:val="20"/>
              </w:rPr>
            </w:pPr>
          </w:p>
          <w:p w14:paraId="69C2C307" w14:textId="77777777" w:rsidR="0035631A" w:rsidRPr="000B1917" w:rsidRDefault="0035631A" w:rsidP="00C238B5">
            <w:pPr>
              <w:suppressAutoHyphens/>
              <w:jc w:val="center"/>
              <w:rPr>
                <w:sz w:val="20"/>
              </w:rPr>
            </w:pPr>
            <w:r>
              <w:rPr>
                <w:sz w:val="20"/>
              </w:rPr>
              <w:t>11.4</w:t>
            </w:r>
            <w:r w:rsidRPr="000B1917">
              <w:rPr>
                <w:sz w:val="20"/>
              </w:rPr>
              <w:t>%</w:t>
            </w:r>
          </w:p>
        </w:tc>
        <w:tc>
          <w:tcPr>
            <w:tcW w:w="1170" w:type="dxa"/>
            <w:vAlign w:val="bottom"/>
          </w:tcPr>
          <w:p w14:paraId="6FC0C22D" w14:textId="77777777" w:rsidR="0035631A" w:rsidRPr="00CB7185" w:rsidRDefault="0035631A" w:rsidP="00504461">
            <w:pPr>
              <w:suppressAutoHyphens/>
              <w:jc w:val="center"/>
              <w:rPr>
                <w:sz w:val="20"/>
              </w:rPr>
            </w:pPr>
            <w:r w:rsidRPr="00CB7185">
              <w:rPr>
                <w:sz w:val="20"/>
              </w:rPr>
              <w:t>1</w:t>
            </w:r>
            <w:r w:rsidR="00504461">
              <w:rPr>
                <w:sz w:val="20"/>
              </w:rPr>
              <w:t>0</w:t>
            </w:r>
            <w:r>
              <w:rPr>
                <w:sz w:val="20"/>
              </w:rPr>
              <w:t>.8</w:t>
            </w:r>
            <w:r w:rsidRPr="00CB7185">
              <w:rPr>
                <w:sz w:val="20"/>
              </w:rPr>
              <w:t>%</w:t>
            </w:r>
          </w:p>
        </w:tc>
        <w:tc>
          <w:tcPr>
            <w:tcW w:w="1170" w:type="dxa"/>
          </w:tcPr>
          <w:p w14:paraId="50E621FF" w14:textId="77777777" w:rsidR="0035631A" w:rsidRDefault="0035631A" w:rsidP="0001434A">
            <w:pPr>
              <w:suppressAutoHyphens/>
              <w:jc w:val="center"/>
              <w:rPr>
                <w:sz w:val="20"/>
              </w:rPr>
            </w:pPr>
          </w:p>
          <w:p w14:paraId="27B311F9" w14:textId="77777777" w:rsidR="0035631A" w:rsidRPr="00853941" w:rsidRDefault="00853941" w:rsidP="0001434A">
            <w:pPr>
              <w:suppressAutoHyphens/>
              <w:jc w:val="center"/>
              <w:rPr>
                <w:sz w:val="20"/>
              </w:rPr>
            </w:pPr>
            <w:r w:rsidRPr="00853941">
              <w:rPr>
                <w:sz w:val="20"/>
              </w:rPr>
              <w:t>12.1</w:t>
            </w:r>
            <w:r w:rsidR="0035631A" w:rsidRPr="00853941">
              <w:rPr>
                <w:sz w:val="20"/>
              </w:rPr>
              <w:t>%</w:t>
            </w:r>
          </w:p>
        </w:tc>
        <w:tc>
          <w:tcPr>
            <w:tcW w:w="1170" w:type="dxa"/>
          </w:tcPr>
          <w:p w14:paraId="1BC54B3C" w14:textId="77777777" w:rsidR="00BF5577" w:rsidRDefault="00BF5577" w:rsidP="0001434A">
            <w:pPr>
              <w:suppressAutoHyphens/>
              <w:jc w:val="center"/>
              <w:rPr>
                <w:sz w:val="20"/>
              </w:rPr>
            </w:pPr>
          </w:p>
          <w:p w14:paraId="7AE40519" w14:textId="77777777" w:rsidR="0035631A" w:rsidRDefault="00BF5577" w:rsidP="0001434A">
            <w:pPr>
              <w:suppressAutoHyphens/>
              <w:jc w:val="center"/>
              <w:rPr>
                <w:sz w:val="20"/>
              </w:rPr>
            </w:pPr>
            <w:r>
              <w:rPr>
                <w:sz w:val="20"/>
              </w:rPr>
              <w:t>12.5%</w:t>
            </w:r>
          </w:p>
        </w:tc>
      </w:tr>
    </w:tbl>
    <w:p w14:paraId="7DE0DF70" w14:textId="77777777" w:rsidR="00631A3A" w:rsidRDefault="00631A3A" w:rsidP="00091872">
      <w:pPr>
        <w:widowControl/>
        <w:tabs>
          <w:tab w:val="left" w:pos="1710"/>
        </w:tabs>
        <w:ind w:left="1710" w:hanging="1350"/>
        <w:jc w:val="both"/>
        <w:rPr>
          <w:b/>
          <w:bCs/>
          <w:sz w:val="20"/>
        </w:rPr>
      </w:pPr>
    </w:p>
    <w:p w14:paraId="36E8B556" w14:textId="77777777" w:rsidR="00631A3A" w:rsidRDefault="00631A3A" w:rsidP="00091872">
      <w:pPr>
        <w:widowControl/>
        <w:tabs>
          <w:tab w:val="left" w:pos="1710"/>
        </w:tabs>
        <w:ind w:left="1710" w:hanging="1350"/>
        <w:jc w:val="both"/>
        <w:rPr>
          <w:b/>
          <w:bCs/>
          <w:sz w:val="20"/>
        </w:rPr>
      </w:pPr>
    </w:p>
    <w:p w14:paraId="18818294" w14:textId="77777777" w:rsidR="00585C01" w:rsidRDefault="00631A3A" w:rsidP="00091872">
      <w:pPr>
        <w:widowControl/>
        <w:tabs>
          <w:tab w:val="left" w:pos="1710"/>
        </w:tabs>
        <w:ind w:left="1710" w:hanging="1350"/>
        <w:jc w:val="both"/>
        <w:rPr>
          <w:b/>
          <w:sz w:val="20"/>
        </w:rPr>
      </w:pPr>
      <w:r>
        <w:rPr>
          <w:b/>
          <w:bCs/>
          <w:sz w:val="20"/>
        </w:rPr>
        <w:t xml:space="preserve"> </w:t>
      </w:r>
      <w:r w:rsidR="00585C01">
        <w:rPr>
          <w:b/>
          <w:bCs/>
          <w:sz w:val="20"/>
        </w:rPr>
        <w:t>Objective 3.2</w:t>
      </w:r>
      <w:r w:rsidR="00585C01">
        <w:rPr>
          <w:b/>
          <w:sz w:val="20"/>
        </w:rPr>
        <w:tab/>
      </w:r>
      <w:r w:rsidR="00585C01">
        <w:rPr>
          <w:bCs/>
          <w:sz w:val="20"/>
        </w:rPr>
        <w:t xml:space="preserve">Increase the percentage of minority </w:t>
      </w:r>
      <w:r w:rsidR="00FC7719">
        <w:rPr>
          <w:bCs/>
          <w:sz w:val="20"/>
        </w:rPr>
        <w:t xml:space="preserve">undergraduates from </w:t>
      </w:r>
      <w:r w:rsidR="007F54F7">
        <w:rPr>
          <w:bCs/>
          <w:sz w:val="20"/>
        </w:rPr>
        <w:t>17.6</w:t>
      </w:r>
      <w:r w:rsidR="00FC7719">
        <w:rPr>
          <w:bCs/>
          <w:sz w:val="20"/>
        </w:rPr>
        <w:t>% in 2009</w:t>
      </w:r>
      <w:r w:rsidR="00C279DA">
        <w:rPr>
          <w:bCs/>
          <w:sz w:val="20"/>
        </w:rPr>
        <w:t xml:space="preserve"> to 21</w:t>
      </w:r>
      <w:r w:rsidR="00585C01">
        <w:rPr>
          <w:bCs/>
          <w:sz w:val="20"/>
        </w:rPr>
        <w:t>% in 20</w:t>
      </w:r>
      <w:r w:rsidR="00FC7719">
        <w:rPr>
          <w:bCs/>
          <w:sz w:val="20"/>
        </w:rPr>
        <w:t>14</w:t>
      </w:r>
      <w:r w:rsidR="00585C01">
        <w:rPr>
          <w:b/>
          <w:sz w:val="20"/>
        </w:rPr>
        <w:t>.</w:t>
      </w:r>
    </w:p>
    <w:p w14:paraId="3B7B358B" w14:textId="77777777" w:rsidR="00091872" w:rsidRDefault="00091872" w:rsidP="00091872">
      <w:pPr>
        <w:widowControl/>
        <w:tabs>
          <w:tab w:val="left" w:pos="1710"/>
        </w:tabs>
        <w:ind w:left="1710" w:hanging="1350"/>
        <w:jc w:val="both"/>
        <w:rPr>
          <w:b/>
          <w:sz w:val="20"/>
        </w:rPr>
      </w:pPr>
    </w:p>
    <w:tbl>
      <w:tblPr>
        <w:tblW w:w="11430" w:type="dxa"/>
        <w:tblInd w:w="468" w:type="dxa"/>
        <w:tblLayout w:type="fixed"/>
        <w:tblLook w:val="0000" w:firstRow="0" w:lastRow="0" w:firstColumn="0" w:lastColumn="0" w:noHBand="0" w:noVBand="0"/>
      </w:tblPr>
      <w:tblGrid>
        <w:gridCol w:w="1170"/>
        <w:gridCol w:w="3240"/>
        <w:gridCol w:w="1170"/>
        <w:gridCol w:w="1170"/>
        <w:gridCol w:w="1170"/>
        <w:gridCol w:w="1170"/>
        <w:gridCol w:w="1170"/>
        <w:gridCol w:w="1170"/>
      </w:tblGrid>
      <w:tr w:rsidR="0035631A" w14:paraId="10CFFCD0" w14:textId="77777777" w:rsidTr="0035631A">
        <w:tblPrEx>
          <w:tblCellMar>
            <w:top w:w="0" w:type="dxa"/>
            <w:bottom w:w="0" w:type="dxa"/>
          </w:tblCellMar>
        </w:tblPrEx>
        <w:tc>
          <w:tcPr>
            <w:tcW w:w="4410" w:type="dxa"/>
            <w:gridSpan w:val="2"/>
            <w:vAlign w:val="bottom"/>
          </w:tcPr>
          <w:p w14:paraId="00C1DDCE" w14:textId="77777777" w:rsidR="0035631A" w:rsidRDefault="0035631A" w:rsidP="00051417">
            <w:pPr>
              <w:suppressAutoHyphens/>
              <w:rPr>
                <w:sz w:val="20"/>
              </w:rPr>
            </w:pPr>
            <w:r>
              <w:rPr>
                <w:b/>
                <w:bCs/>
                <w:sz w:val="20"/>
              </w:rPr>
              <w:t>Performance Measures</w:t>
            </w:r>
          </w:p>
        </w:tc>
        <w:tc>
          <w:tcPr>
            <w:tcW w:w="1170" w:type="dxa"/>
            <w:vAlign w:val="bottom"/>
          </w:tcPr>
          <w:p w14:paraId="2866E62E" w14:textId="77777777" w:rsidR="0035631A" w:rsidRPr="003A2144" w:rsidRDefault="0035631A" w:rsidP="006441A6">
            <w:pPr>
              <w:tabs>
                <w:tab w:val="left" w:pos="285"/>
                <w:tab w:val="center" w:pos="598"/>
              </w:tabs>
              <w:suppressAutoHyphens/>
              <w:jc w:val="center"/>
              <w:rPr>
                <w:b/>
                <w:color w:val="0000FF"/>
                <w:sz w:val="20"/>
              </w:rPr>
            </w:pPr>
            <w:r>
              <w:rPr>
                <w:b/>
                <w:sz w:val="20"/>
              </w:rPr>
              <w:t>2009</w:t>
            </w:r>
            <w:r w:rsidRPr="003A2144">
              <w:rPr>
                <w:b/>
                <w:sz w:val="20"/>
              </w:rPr>
              <w:t xml:space="preserve"> Actual</w:t>
            </w:r>
          </w:p>
        </w:tc>
        <w:tc>
          <w:tcPr>
            <w:tcW w:w="1170" w:type="dxa"/>
            <w:vAlign w:val="bottom"/>
          </w:tcPr>
          <w:p w14:paraId="0E992AFD" w14:textId="77777777" w:rsidR="0035631A" w:rsidRPr="003A2144" w:rsidRDefault="0035631A" w:rsidP="00051417">
            <w:pPr>
              <w:tabs>
                <w:tab w:val="left" w:pos="285"/>
                <w:tab w:val="center" w:pos="598"/>
              </w:tabs>
              <w:suppressAutoHyphens/>
              <w:jc w:val="center"/>
              <w:rPr>
                <w:b/>
                <w:color w:val="0000FF"/>
                <w:sz w:val="20"/>
              </w:rPr>
            </w:pPr>
            <w:r>
              <w:rPr>
                <w:b/>
                <w:sz w:val="20"/>
              </w:rPr>
              <w:t>2010</w:t>
            </w:r>
            <w:r w:rsidRPr="003A2144">
              <w:rPr>
                <w:b/>
                <w:sz w:val="20"/>
              </w:rPr>
              <w:t xml:space="preserve"> Actual</w:t>
            </w:r>
          </w:p>
        </w:tc>
        <w:tc>
          <w:tcPr>
            <w:tcW w:w="1170" w:type="dxa"/>
          </w:tcPr>
          <w:p w14:paraId="2512D456" w14:textId="77777777" w:rsidR="0035631A" w:rsidRPr="00986C2B" w:rsidRDefault="0035631A" w:rsidP="00BB0A2B">
            <w:pPr>
              <w:tabs>
                <w:tab w:val="left" w:pos="285"/>
                <w:tab w:val="center" w:pos="598"/>
              </w:tabs>
              <w:suppressAutoHyphens/>
              <w:jc w:val="center"/>
              <w:rPr>
                <w:b/>
                <w:sz w:val="20"/>
              </w:rPr>
            </w:pPr>
            <w:r>
              <w:rPr>
                <w:b/>
                <w:sz w:val="20"/>
              </w:rPr>
              <w:t>2011</w:t>
            </w:r>
            <w:r w:rsidRPr="00986C2B">
              <w:rPr>
                <w:b/>
                <w:sz w:val="20"/>
              </w:rPr>
              <w:t xml:space="preserve"> </w:t>
            </w:r>
            <w:r>
              <w:rPr>
                <w:b/>
                <w:sz w:val="20"/>
              </w:rPr>
              <w:t>Actual</w:t>
            </w:r>
          </w:p>
        </w:tc>
        <w:tc>
          <w:tcPr>
            <w:tcW w:w="1170" w:type="dxa"/>
          </w:tcPr>
          <w:p w14:paraId="5E68ADB6" w14:textId="77777777" w:rsidR="0035631A" w:rsidRPr="00986C2B" w:rsidRDefault="0035631A" w:rsidP="00504461">
            <w:pPr>
              <w:tabs>
                <w:tab w:val="left" w:pos="285"/>
                <w:tab w:val="center" w:pos="598"/>
              </w:tabs>
              <w:suppressAutoHyphens/>
              <w:jc w:val="center"/>
              <w:rPr>
                <w:b/>
                <w:sz w:val="20"/>
              </w:rPr>
            </w:pPr>
            <w:r>
              <w:rPr>
                <w:b/>
                <w:sz w:val="20"/>
              </w:rPr>
              <w:t>2012</w:t>
            </w:r>
            <w:r w:rsidRPr="00986C2B">
              <w:rPr>
                <w:b/>
                <w:sz w:val="20"/>
              </w:rPr>
              <w:t xml:space="preserve"> </w:t>
            </w:r>
            <w:r w:rsidR="00504461">
              <w:rPr>
                <w:b/>
                <w:sz w:val="20"/>
              </w:rPr>
              <w:t>Actual</w:t>
            </w:r>
          </w:p>
        </w:tc>
        <w:tc>
          <w:tcPr>
            <w:tcW w:w="1170" w:type="dxa"/>
          </w:tcPr>
          <w:p w14:paraId="70DD05BB" w14:textId="77777777" w:rsidR="0035631A" w:rsidRDefault="0035631A" w:rsidP="00090115">
            <w:pPr>
              <w:tabs>
                <w:tab w:val="left" w:pos="285"/>
                <w:tab w:val="center" w:pos="598"/>
              </w:tabs>
              <w:suppressAutoHyphens/>
              <w:jc w:val="center"/>
              <w:rPr>
                <w:b/>
                <w:sz w:val="20"/>
              </w:rPr>
            </w:pPr>
            <w:r>
              <w:rPr>
                <w:b/>
                <w:sz w:val="20"/>
              </w:rPr>
              <w:t>2013 Estimated</w:t>
            </w:r>
          </w:p>
        </w:tc>
        <w:tc>
          <w:tcPr>
            <w:tcW w:w="1170" w:type="dxa"/>
          </w:tcPr>
          <w:p w14:paraId="6A31BA96" w14:textId="77777777" w:rsidR="0035631A" w:rsidRDefault="0035631A" w:rsidP="00090115">
            <w:pPr>
              <w:tabs>
                <w:tab w:val="left" w:pos="285"/>
                <w:tab w:val="center" w:pos="598"/>
              </w:tabs>
              <w:suppressAutoHyphens/>
              <w:jc w:val="center"/>
              <w:rPr>
                <w:b/>
                <w:sz w:val="20"/>
              </w:rPr>
            </w:pPr>
            <w:r>
              <w:rPr>
                <w:b/>
                <w:sz w:val="20"/>
              </w:rPr>
              <w:t>2014 Estimated</w:t>
            </w:r>
          </w:p>
        </w:tc>
      </w:tr>
      <w:tr w:rsidR="0035631A" w14:paraId="62707609" w14:textId="77777777" w:rsidTr="0035631A">
        <w:tblPrEx>
          <w:tblCellMar>
            <w:top w:w="0" w:type="dxa"/>
            <w:bottom w:w="0" w:type="dxa"/>
          </w:tblCellMar>
        </w:tblPrEx>
        <w:tc>
          <w:tcPr>
            <w:tcW w:w="1170" w:type="dxa"/>
            <w:vAlign w:val="bottom"/>
          </w:tcPr>
          <w:p w14:paraId="162275C2" w14:textId="77777777" w:rsidR="0035631A" w:rsidRDefault="0035631A" w:rsidP="0001434A">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rPr>
                <w:sz w:val="20"/>
              </w:rPr>
            </w:pPr>
            <w:r>
              <w:rPr>
                <w:sz w:val="20"/>
              </w:rPr>
              <w:t>Input</w:t>
            </w:r>
          </w:p>
        </w:tc>
        <w:tc>
          <w:tcPr>
            <w:tcW w:w="3240" w:type="dxa"/>
            <w:vAlign w:val="bottom"/>
          </w:tcPr>
          <w:p w14:paraId="430C3DD0" w14:textId="77777777" w:rsidR="0035631A" w:rsidRPr="00FD3D0D" w:rsidRDefault="0035631A" w:rsidP="00FD3D0D">
            <w:pPr>
              <w:suppressAutoHyphens/>
              <w:rPr>
                <w:sz w:val="20"/>
                <w:vertAlign w:val="superscript"/>
              </w:rPr>
            </w:pPr>
            <w:r>
              <w:rPr>
                <w:sz w:val="20"/>
              </w:rPr>
              <w:t>Percentage of minority undergraduates</w:t>
            </w:r>
            <w:r>
              <w:rPr>
                <w:sz w:val="20"/>
                <w:vertAlign w:val="superscript"/>
              </w:rPr>
              <w:t>4</w:t>
            </w:r>
          </w:p>
        </w:tc>
        <w:tc>
          <w:tcPr>
            <w:tcW w:w="1170" w:type="dxa"/>
            <w:vAlign w:val="bottom"/>
          </w:tcPr>
          <w:p w14:paraId="47AC2017" w14:textId="77777777" w:rsidR="0035631A" w:rsidRDefault="0035631A" w:rsidP="006441A6">
            <w:pPr>
              <w:suppressAutoHyphens/>
              <w:jc w:val="center"/>
              <w:rPr>
                <w:sz w:val="20"/>
              </w:rPr>
            </w:pPr>
            <w:r>
              <w:rPr>
                <w:sz w:val="20"/>
              </w:rPr>
              <w:t>17.6%</w:t>
            </w:r>
          </w:p>
        </w:tc>
        <w:tc>
          <w:tcPr>
            <w:tcW w:w="1170" w:type="dxa"/>
            <w:vAlign w:val="bottom"/>
          </w:tcPr>
          <w:p w14:paraId="3157EFCB" w14:textId="77777777" w:rsidR="0035631A" w:rsidRPr="000B1917" w:rsidRDefault="0035631A" w:rsidP="00C238B5">
            <w:pPr>
              <w:tabs>
                <w:tab w:val="left" w:pos="285"/>
                <w:tab w:val="center" w:pos="598"/>
              </w:tabs>
              <w:suppressAutoHyphens/>
              <w:jc w:val="center"/>
              <w:rPr>
                <w:sz w:val="20"/>
              </w:rPr>
            </w:pPr>
            <w:r>
              <w:rPr>
                <w:sz w:val="20"/>
              </w:rPr>
              <w:t>17.9</w:t>
            </w:r>
            <w:r w:rsidRPr="000B1917">
              <w:rPr>
                <w:sz w:val="20"/>
              </w:rPr>
              <w:t>%</w:t>
            </w:r>
          </w:p>
        </w:tc>
        <w:tc>
          <w:tcPr>
            <w:tcW w:w="1170" w:type="dxa"/>
          </w:tcPr>
          <w:p w14:paraId="159705A2" w14:textId="77777777" w:rsidR="0035631A" w:rsidRDefault="0035631A" w:rsidP="00C238B5">
            <w:pPr>
              <w:suppressAutoHyphens/>
              <w:jc w:val="center"/>
              <w:rPr>
                <w:sz w:val="20"/>
              </w:rPr>
            </w:pPr>
          </w:p>
          <w:p w14:paraId="5DBFC4E2" w14:textId="77777777" w:rsidR="0035631A" w:rsidRPr="000B1917" w:rsidRDefault="0035631A" w:rsidP="00C238B5">
            <w:pPr>
              <w:suppressAutoHyphens/>
              <w:jc w:val="center"/>
              <w:rPr>
                <w:sz w:val="20"/>
              </w:rPr>
            </w:pPr>
            <w:r>
              <w:rPr>
                <w:sz w:val="20"/>
              </w:rPr>
              <w:t>19.5</w:t>
            </w:r>
            <w:r w:rsidRPr="000B1917">
              <w:rPr>
                <w:sz w:val="20"/>
              </w:rPr>
              <w:t>%</w:t>
            </w:r>
          </w:p>
        </w:tc>
        <w:tc>
          <w:tcPr>
            <w:tcW w:w="1170" w:type="dxa"/>
            <w:vAlign w:val="bottom"/>
          </w:tcPr>
          <w:p w14:paraId="20F0F250" w14:textId="77777777" w:rsidR="0035631A" w:rsidRPr="007F128E" w:rsidRDefault="0035631A" w:rsidP="00504461">
            <w:pPr>
              <w:suppressAutoHyphens/>
              <w:jc w:val="center"/>
              <w:rPr>
                <w:sz w:val="20"/>
              </w:rPr>
            </w:pPr>
            <w:r w:rsidRPr="007F128E">
              <w:rPr>
                <w:sz w:val="20"/>
              </w:rPr>
              <w:t>20.</w:t>
            </w:r>
            <w:r w:rsidR="00504461">
              <w:rPr>
                <w:sz w:val="20"/>
              </w:rPr>
              <w:t>2</w:t>
            </w:r>
            <w:r w:rsidRPr="007F128E">
              <w:rPr>
                <w:sz w:val="20"/>
              </w:rPr>
              <w:t>%</w:t>
            </w:r>
          </w:p>
        </w:tc>
        <w:tc>
          <w:tcPr>
            <w:tcW w:w="1170" w:type="dxa"/>
          </w:tcPr>
          <w:p w14:paraId="568CA33B" w14:textId="77777777" w:rsidR="0035631A" w:rsidRDefault="0035631A" w:rsidP="0001434A">
            <w:pPr>
              <w:suppressAutoHyphens/>
              <w:jc w:val="center"/>
              <w:rPr>
                <w:sz w:val="20"/>
              </w:rPr>
            </w:pPr>
          </w:p>
          <w:p w14:paraId="6C5EE2CD" w14:textId="77777777" w:rsidR="0035631A" w:rsidRPr="00853941" w:rsidRDefault="0035631A" w:rsidP="0001434A">
            <w:pPr>
              <w:suppressAutoHyphens/>
              <w:jc w:val="center"/>
              <w:rPr>
                <w:sz w:val="20"/>
              </w:rPr>
            </w:pPr>
            <w:r w:rsidRPr="00853941">
              <w:rPr>
                <w:sz w:val="20"/>
              </w:rPr>
              <w:t>21.0%</w:t>
            </w:r>
          </w:p>
        </w:tc>
        <w:tc>
          <w:tcPr>
            <w:tcW w:w="1170" w:type="dxa"/>
          </w:tcPr>
          <w:p w14:paraId="0F2FC08C" w14:textId="77777777" w:rsidR="00BF5577" w:rsidRDefault="00BF5577" w:rsidP="0001434A">
            <w:pPr>
              <w:suppressAutoHyphens/>
              <w:jc w:val="center"/>
              <w:rPr>
                <w:sz w:val="20"/>
              </w:rPr>
            </w:pPr>
          </w:p>
          <w:p w14:paraId="35FA67E4" w14:textId="77777777" w:rsidR="0035631A" w:rsidRPr="00BF5577" w:rsidRDefault="00BF5577" w:rsidP="00BF5577">
            <w:pPr>
              <w:rPr>
                <w:sz w:val="20"/>
              </w:rPr>
            </w:pPr>
            <w:r>
              <w:rPr>
                <w:sz w:val="20"/>
              </w:rPr>
              <w:t xml:space="preserve">      21%</w:t>
            </w:r>
          </w:p>
        </w:tc>
      </w:tr>
    </w:tbl>
    <w:p w14:paraId="0F6D19CE" w14:textId="77777777" w:rsidR="00585C01" w:rsidRDefault="00585C01" w:rsidP="00585C01">
      <w:pPr>
        <w:widowControl/>
        <w:tabs>
          <w:tab w:val="left" w:pos="1710"/>
        </w:tabs>
        <w:ind w:left="360"/>
        <w:jc w:val="both"/>
        <w:rPr>
          <w:b/>
          <w:sz w:val="20"/>
        </w:rPr>
      </w:pPr>
    </w:p>
    <w:p w14:paraId="6783A1D7" w14:textId="77777777" w:rsidR="00585C01" w:rsidRDefault="00585C01" w:rsidP="00091872">
      <w:pPr>
        <w:widowControl/>
        <w:tabs>
          <w:tab w:val="left" w:pos="1710"/>
        </w:tabs>
        <w:ind w:left="1710" w:hanging="1350"/>
        <w:jc w:val="both"/>
        <w:rPr>
          <w:b/>
          <w:sz w:val="20"/>
        </w:rPr>
      </w:pPr>
      <w:r>
        <w:rPr>
          <w:b/>
          <w:bCs/>
          <w:sz w:val="20"/>
        </w:rPr>
        <w:t>Objective 3.3</w:t>
      </w:r>
      <w:r>
        <w:rPr>
          <w:b/>
          <w:sz w:val="20"/>
        </w:rPr>
        <w:tab/>
      </w:r>
      <w:r>
        <w:rPr>
          <w:bCs/>
          <w:sz w:val="20"/>
        </w:rPr>
        <w:t>Increase the percentage of economically disadvantaged s</w:t>
      </w:r>
      <w:r w:rsidR="007F54F7">
        <w:rPr>
          <w:bCs/>
          <w:sz w:val="20"/>
        </w:rPr>
        <w:t>tudents attending SU from 42.7</w:t>
      </w:r>
      <w:r w:rsidR="00FC7719">
        <w:rPr>
          <w:bCs/>
          <w:sz w:val="20"/>
        </w:rPr>
        <w:t>% in 2009</w:t>
      </w:r>
      <w:r w:rsidR="00D67803">
        <w:rPr>
          <w:bCs/>
          <w:sz w:val="20"/>
        </w:rPr>
        <w:t xml:space="preserve"> to 43.5</w:t>
      </w:r>
      <w:r>
        <w:rPr>
          <w:bCs/>
          <w:sz w:val="20"/>
        </w:rPr>
        <w:t>% in 20</w:t>
      </w:r>
      <w:r w:rsidR="00FC7719">
        <w:rPr>
          <w:bCs/>
          <w:sz w:val="20"/>
        </w:rPr>
        <w:t>14</w:t>
      </w:r>
      <w:r>
        <w:rPr>
          <w:b/>
          <w:sz w:val="20"/>
        </w:rPr>
        <w:t>.</w:t>
      </w:r>
    </w:p>
    <w:p w14:paraId="3FE4A32D" w14:textId="77777777" w:rsidR="00091872" w:rsidRDefault="00091872" w:rsidP="00091872">
      <w:pPr>
        <w:widowControl/>
        <w:tabs>
          <w:tab w:val="left" w:pos="1710"/>
        </w:tabs>
        <w:ind w:left="1710" w:hanging="1350"/>
        <w:jc w:val="both"/>
        <w:rPr>
          <w:b/>
          <w:sz w:val="20"/>
        </w:rPr>
      </w:pPr>
    </w:p>
    <w:tbl>
      <w:tblPr>
        <w:tblW w:w="11454" w:type="dxa"/>
        <w:tblInd w:w="468" w:type="dxa"/>
        <w:tblLayout w:type="fixed"/>
        <w:tblLook w:val="0000" w:firstRow="0" w:lastRow="0" w:firstColumn="0" w:lastColumn="0" w:noHBand="0" w:noVBand="0"/>
      </w:tblPr>
      <w:tblGrid>
        <w:gridCol w:w="1170"/>
        <w:gridCol w:w="3264"/>
        <w:gridCol w:w="1170"/>
        <w:gridCol w:w="1170"/>
        <w:gridCol w:w="1170"/>
        <w:gridCol w:w="1170"/>
        <w:gridCol w:w="1170"/>
        <w:gridCol w:w="1170"/>
      </w:tblGrid>
      <w:tr w:rsidR="0035631A" w14:paraId="34C2E6C6" w14:textId="77777777" w:rsidTr="0035631A">
        <w:tblPrEx>
          <w:tblCellMar>
            <w:top w:w="0" w:type="dxa"/>
            <w:bottom w:w="0" w:type="dxa"/>
          </w:tblCellMar>
        </w:tblPrEx>
        <w:tc>
          <w:tcPr>
            <w:tcW w:w="4434" w:type="dxa"/>
            <w:gridSpan w:val="2"/>
            <w:vAlign w:val="bottom"/>
          </w:tcPr>
          <w:p w14:paraId="4154C8AB" w14:textId="77777777" w:rsidR="0035631A" w:rsidRDefault="0035631A" w:rsidP="00051417">
            <w:pPr>
              <w:suppressAutoHyphens/>
              <w:rPr>
                <w:sz w:val="20"/>
              </w:rPr>
            </w:pPr>
            <w:r>
              <w:rPr>
                <w:b/>
                <w:bCs/>
                <w:sz w:val="20"/>
              </w:rPr>
              <w:t>Performance Measures</w:t>
            </w:r>
          </w:p>
        </w:tc>
        <w:tc>
          <w:tcPr>
            <w:tcW w:w="1170" w:type="dxa"/>
            <w:vAlign w:val="bottom"/>
          </w:tcPr>
          <w:p w14:paraId="6CA3215C" w14:textId="77777777" w:rsidR="0035631A" w:rsidRPr="003A2144" w:rsidRDefault="0035631A" w:rsidP="006441A6">
            <w:pPr>
              <w:tabs>
                <w:tab w:val="left" w:pos="285"/>
                <w:tab w:val="center" w:pos="598"/>
              </w:tabs>
              <w:suppressAutoHyphens/>
              <w:jc w:val="center"/>
              <w:rPr>
                <w:b/>
                <w:color w:val="0000FF"/>
                <w:sz w:val="20"/>
              </w:rPr>
            </w:pPr>
            <w:r>
              <w:rPr>
                <w:b/>
                <w:sz w:val="20"/>
              </w:rPr>
              <w:t>2009</w:t>
            </w:r>
            <w:r w:rsidRPr="003A2144">
              <w:rPr>
                <w:b/>
                <w:sz w:val="20"/>
              </w:rPr>
              <w:t xml:space="preserve"> Actual</w:t>
            </w:r>
          </w:p>
        </w:tc>
        <w:tc>
          <w:tcPr>
            <w:tcW w:w="1170" w:type="dxa"/>
            <w:vAlign w:val="bottom"/>
          </w:tcPr>
          <w:p w14:paraId="4943AD13" w14:textId="77777777" w:rsidR="0035631A" w:rsidRPr="003A2144" w:rsidRDefault="0035631A" w:rsidP="006441A6">
            <w:pPr>
              <w:tabs>
                <w:tab w:val="left" w:pos="285"/>
                <w:tab w:val="center" w:pos="598"/>
              </w:tabs>
              <w:suppressAutoHyphens/>
              <w:jc w:val="center"/>
              <w:rPr>
                <w:b/>
                <w:color w:val="0000FF"/>
                <w:sz w:val="20"/>
              </w:rPr>
            </w:pPr>
            <w:r>
              <w:rPr>
                <w:b/>
                <w:sz w:val="20"/>
              </w:rPr>
              <w:t>2010</w:t>
            </w:r>
            <w:r w:rsidRPr="003A2144">
              <w:rPr>
                <w:b/>
                <w:sz w:val="20"/>
              </w:rPr>
              <w:t xml:space="preserve"> Actual</w:t>
            </w:r>
          </w:p>
        </w:tc>
        <w:tc>
          <w:tcPr>
            <w:tcW w:w="1170" w:type="dxa"/>
          </w:tcPr>
          <w:p w14:paraId="4453860C" w14:textId="77777777" w:rsidR="0035631A" w:rsidRPr="00986C2B" w:rsidRDefault="0035631A" w:rsidP="006D7FB8">
            <w:pPr>
              <w:tabs>
                <w:tab w:val="left" w:pos="285"/>
                <w:tab w:val="center" w:pos="598"/>
              </w:tabs>
              <w:suppressAutoHyphens/>
              <w:jc w:val="center"/>
              <w:rPr>
                <w:b/>
                <w:sz w:val="20"/>
              </w:rPr>
            </w:pPr>
            <w:r>
              <w:rPr>
                <w:b/>
                <w:sz w:val="20"/>
              </w:rPr>
              <w:t>2011</w:t>
            </w:r>
            <w:r w:rsidRPr="00986C2B">
              <w:rPr>
                <w:b/>
                <w:sz w:val="20"/>
              </w:rPr>
              <w:t xml:space="preserve"> </w:t>
            </w:r>
            <w:r>
              <w:rPr>
                <w:b/>
                <w:sz w:val="20"/>
              </w:rPr>
              <w:t>Actual</w:t>
            </w:r>
          </w:p>
        </w:tc>
        <w:tc>
          <w:tcPr>
            <w:tcW w:w="1170" w:type="dxa"/>
          </w:tcPr>
          <w:p w14:paraId="534A5386" w14:textId="77777777" w:rsidR="0035631A" w:rsidRPr="00986C2B" w:rsidRDefault="0035631A" w:rsidP="005C0CF3">
            <w:pPr>
              <w:tabs>
                <w:tab w:val="left" w:pos="285"/>
                <w:tab w:val="center" w:pos="598"/>
              </w:tabs>
              <w:suppressAutoHyphens/>
              <w:jc w:val="center"/>
              <w:rPr>
                <w:b/>
                <w:sz w:val="20"/>
              </w:rPr>
            </w:pPr>
            <w:r>
              <w:rPr>
                <w:b/>
                <w:sz w:val="20"/>
              </w:rPr>
              <w:t>2012</w:t>
            </w:r>
            <w:r w:rsidRPr="00986C2B">
              <w:rPr>
                <w:b/>
                <w:sz w:val="20"/>
              </w:rPr>
              <w:t xml:space="preserve"> </w:t>
            </w:r>
            <w:r w:rsidR="005C0CF3">
              <w:rPr>
                <w:b/>
                <w:sz w:val="20"/>
              </w:rPr>
              <w:t>Actual</w:t>
            </w:r>
          </w:p>
        </w:tc>
        <w:tc>
          <w:tcPr>
            <w:tcW w:w="1170" w:type="dxa"/>
          </w:tcPr>
          <w:p w14:paraId="65731B5C" w14:textId="77777777" w:rsidR="0035631A" w:rsidRDefault="0035631A" w:rsidP="00090115">
            <w:pPr>
              <w:tabs>
                <w:tab w:val="left" w:pos="285"/>
                <w:tab w:val="center" w:pos="598"/>
              </w:tabs>
              <w:suppressAutoHyphens/>
              <w:jc w:val="center"/>
              <w:rPr>
                <w:b/>
                <w:sz w:val="20"/>
              </w:rPr>
            </w:pPr>
            <w:r>
              <w:rPr>
                <w:b/>
                <w:sz w:val="20"/>
              </w:rPr>
              <w:t>2013 Estimated</w:t>
            </w:r>
          </w:p>
        </w:tc>
        <w:tc>
          <w:tcPr>
            <w:tcW w:w="1170" w:type="dxa"/>
          </w:tcPr>
          <w:p w14:paraId="0BED96E8" w14:textId="77777777" w:rsidR="0035631A" w:rsidRDefault="0035631A" w:rsidP="00090115">
            <w:pPr>
              <w:tabs>
                <w:tab w:val="left" w:pos="285"/>
                <w:tab w:val="center" w:pos="598"/>
              </w:tabs>
              <w:suppressAutoHyphens/>
              <w:jc w:val="center"/>
              <w:rPr>
                <w:b/>
                <w:sz w:val="20"/>
              </w:rPr>
            </w:pPr>
            <w:r>
              <w:rPr>
                <w:b/>
                <w:sz w:val="20"/>
              </w:rPr>
              <w:t>2014 Estimated</w:t>
            </w:r>
          </w:p>
        </w:tc>
      </w:tr>
      <w:tr w:rsidR="0035631A" w:rsidRPr="007F128E" w14:paraId="2073393D" w14:textId="77777777" w:rsidTr="0035631A">
        <w:tblPrEx>
          <w:tblCellMar>
            <w:top w:w="0" w:type="dxa"/>
            <w:bottom w:w="0" w:type="dxa"/>
          </w:tblCellMar>
        </w:tblPrEx>
        <w:tc>
          <w:tcPr>
            <w:tcW w:w="1170" w:type="dxa"/>
            <w:vAlign w:val="bottom"/>
          </w:tcPr>
          <w:p w14:paraId="341BFF04" w14:textId="77777777" w:rsidR="0035631A" w:rsidRPr="007F128E" w:rsidRDefault="0035631A" w:rsidP="0001434A">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rPr>
                <w:sz w:val="20"/>
              </w:rPr>
            </w:pPr>
            <w:r w:rsidRPr="007F128E">
              <w:rPr>
                <w:sz w:val="20"/>
              </w:rPr>
              <w:t>Input</w:t>
            </w:r>
          </w:p>
        </w:tc>
        <w:tc>
          <w:tcPr>
            <w:tcW w:w="3264" w:type="dxa"/>
            <w:vAlign w:val="bottom"/>
          </w:tcPr>
          <w:p w14:paraId="31130210" w14:textId="77777777" w:rsidR="0035631A" w:rsidRPr="00FD3D0D" w:rsidRDefault="0035631A" w:rsidP="00FD3D0D">
            <w:pPr>
              <w:suppressAutoHyphens/>
              <w:rPr>
                <w:sz w:val="20"/>
                <w:vertAlign w:val="superscript"/>
              </w:rPr>
            </w:pPr>
            <w:r w:rsidRPr="007F128E">
              <w:rPr>
                <w:sz w:val="20"/>
              </w:rPr>
              <w:t>Percentage of economically disadvantaged students attending SU</w:t>
            </w:r>
            <w:r>
              <w:rPr>
                <w:sz w:val="20"/>
                <w:vertAlign w:val="superscript"/>
              </w:rPr>
              <w:t>3</w:t>
            </w:r>
          </w:p>
        </w:tc>
        <w:tc>
          <w:tcPr>
            <w:tcW w:w="1170" w:type="dxa"/>
            <w:vAlign w:val="bottom"/>
          </w:tcPr>
          <w:p w14:paraId="4142EFD6" w14:textId="77777777" w:rsidR="0035631A" w:rsidRPr="007F128E" w:rsidRDefault="0035631A" w:rsidP="006441A6">
            <w:pPr>
              <w:suppressAutoHyphens/>
              <w:jc w:val="center"/>
              <w:rPr>
                <w:sz w:val="20"/>
              </w:rPr>
            </w:pPr>
            <w:r w:rsidRPr="007F128E">
              <w:rPr>
                <w:sz w:val="20"/>
              </w:rPr>
              <w:t>42.7%</w:t>
            </w:r>
          </w:p>
        </w:tc>
        <w:tc>
          <w:tcPr>
            <w:tcW w:w="1170" w:type="dxa"/>
            <w:vAlign w:val="bottom"/>
          </w:tcPr>
          <w:p w14:paraId="3FF7BE48" w14:textId="77777777" w:rsidR="0035631A" w:rsidRPr="007F128E" w:rsidRDefault="0035631A" w:rsidP="00C238B5">
            <w:pPr>
              <w:tabs>
                <w:tab w:val="left" w:pos="285"/>
                <w:tab w:val="center" w:pos="598"/>
              </w:tabs>
              <w:suppressAutoHyphens/>
              <w:jc w:val="center"/>
              <w:rPr>
                <w:sz w:val="20"/>
              </w:rPr>
            </w:pPr>
            <w:r w:rsidRPr="007F128E">
              <w:rPr>
                <w:sz w:val="20"/>
              </w:rPr>
              <w:t>41.2%</w:t>
            </w:r>
          </w:p>
        </w:tc>
        <w:tc>
          <w:tcPr>
            <w:tcW w:w="1170" w:type="dxa"/>
          </w:tcPr>
          <w:p w14:paraId="1E4BAC52" w14:textId="77777777" w:rsidR="0035631A" w:rsidRPr="007F128E" w:rsidRDefault="0035631A" w:rsidP="00C238B5">
            <w:pPr>
              <w:suppressAutoHyphens/>
              <w:jc w:val="center"/>
              <w:rPr>
                <w:sz w:val="20"/>
              </w:rPr>
            </w:pPr>
          </w:p>
          <w:p w14:paraId="581E894C" w14:textId="77777777" w:rsidR="0035631A" w:rsidRPr="007F128E" w:rsidRDefault="0035631A" w:rsidP="00C238B5">
            <w:pPr>
              <w:suppressAutoHyphens/>
              <w:jc w:val="center"/>
              <w:rPr>
                <w:sz w:val="20"/>
              </w:rPr>
            </w:pPr>
            <w:r w:rsidRPr="007F128E">
              <w:rPr>
                <w:sz w:val="20"/>
              </w:rPr>
              <w:t>46.6%</w:t>
            </w:r>
          </w:p>
        </w:tc>
        <w:tc>
          <w:tcPr>
            <w:tcW w:w="1170" w:type="dxa"/>
            <w:vAlign w:val="bottom"/>
          </w:tcPr>
          <w:p w14:paraId="26861BB3" w14:textId="77777777" w:rsidR="0035631A" w:rsidRPr="007F128E" w:rsidRDefault="005C0CF3" w:rsidP="0001434A">
            <w:pPr>
              <w:suppressAutoHyphens/>
              <w:jc w:val="center"/>
              <w:rPr>
                <w:sz w:val="20"/>
              </w:rPr>
            </w:pPr>
            <w:r>
              <w:rPr>
                <w:sz w:val="20"/>
              </w:rPr>
              <w:t>49.4</w:t>
            </w:r>
            <w:r w:rsidR="0035631A" w:rsidRPr="007F128E">
              <w:rPr>
                <w:sz w:val="20"/>
              </w:rPr>
              <w:t>%</w:t>
            </w:r>
          </w:p>
        </w:tc>
        <w:tc>
          <w:tcPr>
            <w:tcW w:w="1170" w:type="dxa"/>
          </w:tcPr>
          <w:p w14:paraId="01E17BDF" w14:textId="77777777" w:rsidR="0035631A" w:rsidRPr="00EB35F9" w:rsidRDefault="0035631A" w:rsidP="0001434A">
            <w:pPr>
              <w:suppressAutoHyphens/>
              <w:jc w:val="center"/>
              <w:rPr>
                <w:sz w:val="20"/>
              </w:rPr>
            </w:pPr>
          </w:p>
          <w:p w14:paraId="4259C552" w14:textId="77777777" w:rsidR="0035631A" w:rsidRPr="00EB35F9" w:rsidRDefault="0023347F" w:rsidP="0023347F">
            <w:pPr>
              <w:suppressAutoHyphens/>
              <w:jc w:val="center"/>
              <w:rPr>
                <w:sz w:val="20"/>
              </w:rPr>
            </w:pPr>
            <w:r>
              <w:rPr>
                <w:sz w:val="20"/>
              </w:rPr>
              <w:t>49.9</w:t>
            </w:r>
            <w:r w:rsidR="0035631A" w:rsidRPr="00EB35F9">
              <w:rPr>
                <w:sz w:val="20"/>
              </w:rPr>
              <w:t>%</w:t>
            </w:r>
          </w:p>
        </w:tc>
        <w:tc>
          <w:tcPr>
            <w:tcW w:w="1170" w:type="dxa"/>
          </w:tcPr>
          <w:p w14:paraId="08F3B42F" w14:textId="77777777" w:rsidR="0035631A" w:rsidRPr="00EB35F9" w:rsidRDefault="0035631A" w:rsidP="0001434A">
            <w:pPr>
              <w:suppressAutoHyphens/>
              <w:jc w:val="center"/>
              <w:rPr>
                <w:sz w:val="20"/>
              </w:rPr>
            </w:pPr>
          </w:p>
          <w:p w14:paraId="08542DF1" w14:textId="77777777" w:rsidR="00EB35F9" w:rsidRPr="00EB35F9" w:rsidRDefault="0023347F" w:rsidP="0023347F">
            <w:pPr>
              <w:suppressAutoHyphens/>
              <w:jc w:val="center"/>
              <w:rPr>
                <w:sz w:val="20"/>
              </w:rPr>
            </w:pPr>
            <w:r>
              <w:rPr>
                <w:sz w:val="20"/>
              </w:rPr>
              <w:t>50.4</w:t>
            </w:r>
          </w:p>
        </w:tc>
      </w:tr>
    </w:tbl>
    <w:p w14:paraId="7F67A5F5" w14:textId="77777777" w:rsidR="00585C01" w:rsidRPr="007F128E" w:rsidRDefault="00585C01" w:rsidP="00585C01">
      <w:pPr>
        <w:tabs>
          <w:tab w:val="right" w:pos="5850"/>
          <w:tab w:val="right" w:pos="7290"/>
          <w:tab w:val="right" w:pos="8730"/>
          <w:tab w:val="right" w:pos="9990"/>
          <w:tab w:val="right" w:pos="11160"/>
          <w:tab w:val="right" w:pos="12510"/>
        </w:tabs>
        <w:rPr>
          <w:b/>
          <w:bCs/>
          <w:sz w:val="20"/>
        </w:rPr>
      </w:pPr>
    </w:p>
    <w:p w14:paraId="4656AF2D" w14:textId="77777777" w:rsidR="00585C01" w:rsidRDefault="00585C01" w:rsidP="00585C01">
      <w:pPr>
        <w:rPr>
          <w:sz w:val="20"/>
        </w:rPr>
      </w:pPr>
      <w:r>
        <w:rPr>
          <w:b/>
          <w:sz w:val="20"/>
        </w:rPr>
        <w:t>Goal 4.</w:t>
      </w:r>
      <w:r>
        <w:rPr>
          <w:b/>
          <w:sz w:val="20"/>
        </w:rPr>
        <w:tab/>
      </w:r>
      <w:r>
        <w:rPr>
          <w:sz w:val="20"/>
        </w:rPr>
        <w:t>Improve retention and graduation rates while advancing a student-centered environment.</w:t>
      </w:r>
    </w:p>
    <w:p w14:paraId="068B1EE7" w14:textId="77777777" w:rsidR="00585C01" w:rsidRDefault="00585C01" w:rsidP="00585C01">
      <w:pPr>
        <w:widowControl/>
        <w:tabs>
          <w:tab w:val="left" w:pos="1710"/>
        </w:tabs>
        <w:ind w:left="360"/>
        <w:jc w:val="both"/>
        <w:rPr>
          <w:b/>
          <w:sz w:val="20"/>
        </w:rPr>
      </w:pPr>
    </w:p>
    <w:p w14:paraId="222D3752" w14:textId="77777777" w:rsidR="00051417" w:rsidRDefault="00585C01" w:rsidP="00051417">
      <w:pPr>
        <w:widowControl/>
        <w:tabs>
          <w:tab w:val="left" w:pos="1710"/>
        </w:tabs>
        <w:ind w:left="1710" w:hanging="1350"/>
        <w:jc w:val="both"/>
        <w:rPr>
          <w:sz w:val="20"/>
        </w:rPr>
      </w:pPr>
      <w:r>
        <w:rPr>
          <w:b/>
          <w:sz w:val="20"/>
        </w:rPr>
        <w:t>Objective 4.1</w:t>
      </w:r>
      <w:r>
        <w:rPr>
          <w:b/>
          <w:sz w:val="20"/>
        </w:rPr>
        <w:tab/>
      </w:r>
      <w:r>
        <w:rPr>
          <w:sz w:val="20"/>
        </w:rPr>
        <w:t xml:space="preserve">The second-year retention rates of SU first-time, full-time freshmen </w:t>
      </w:r>
      <w:r w:rsidR="00FC7719">
        <w:rPr>
          <w:sz w:val="20"/>
        </w:rPr>
        <w:t xml:space="preserve">will increase from </w:t>
      </w:r>
      <w:r w:rsidR="007F54F7">
        <w:rPr>
          <w:sz w:val="20"/>
        </w:rPr>
        <w:t>85.6</w:t>
      </w:r>
      <w:r w:rsidR="00CA71C2">
        <w:rPr>
          <w:sz w:val="20"/>
        </w:rPr>
        <w:t>% in 2009 to 8</w:t>
      </w:r>
      <w:r w:rsidR="00D67803">
        <w:rPr>
          <w:sz w:val="20"/>
        </w:rPr>
        <w:t>6</w:t>
      </w:r>
      <w:r w:rsidR="00FC7719">
        <w:rPr>
          <w:sz w:val="20"/>
        </w:rPr>
        <w:t>.</w:t>
      </w:r>
      <w:r w:rsidR="00D67803">
        <w:rPr>
          <w:sz w:val="20"/>
        </w:rPr>
        <w:t>1</w:t>
      </w:r>
      <w:r w:rsidR="00FC7719">
        <w:rPr>
          <w:sz w:val="20"/>
        </w:rPr>
        <w:t>% in 2014</w:t>
      </w:r>
      <w:r>
        <w:rPr>
          <w:sz w:val="20"/>
        </w:rPr>
        <w:t>.</w:t>
      </w:r>
    </w:p>
    <w:p w14:paraId="3BB00F7E" w14:textId="77777777" w:rsidR="00585C01" w:rsidRDefault="00585C01" w:rsidP="00051417">
      <w:pPr>
        <w:widowControl/>
        <w:tabs>
          <w:tab w:val="left" w:pos="1710"/>
        </w:tabs>
        <w:ind w:left="1710" w:hanging="1350"/>
        <w:jc w:val="both"/>
        <w:rPr>
          <w:sz w:val="20"/>
        </w:rPr>
      </w:pPr>
      <w:r>
        <w:rPr>
          <w:sz w:val="20"/>
        </w:rPr>
        <w:tab/>
      </w:r>
    </w:p>
    <w:tbl>
      <w:tblPr>
        <w:tblW w:w="11430" w:type="dxa"/>
        <w:tblInd w:w="468" w:type="dxa"/>
        <w:tblLayout w:type="fixed"/>
        <w:tblLook w:val="0000" w:firstRow="0" w:lastRow="0" w:firstColumn="0" w:lastColumn="0" w:noHBand="0" w:noVBand="0"/>
      </w:tblPr>
      <w:tblGrid>
        <w:gridCol w:w="1170"/>
        <w:gridCol w:w="3240"/>
        <w:gridCol w:w="1170"/>
        <w:gridCol w:w="1170"/>
        <w:gridCol w:w="1170"/>
        <w:gridCol w:w="1170"/>
        <w:gridCol w:w="1170"/>
        <w:gridCol w:w="1170"/>
      </w:tblGrid>
      <w:tr w:rsidR="0035631A" w14:paraId="45B7CF6C" w14:textId="77777777" w:rsidTr="0035631A">
        <w:tblPrEx>
          <w:tblCellMar>
            <w:top w:w="0" w:type="dxa"/>
            <w:bottom w:w="0" w:type="dxa"/>
          </w:tblCellMar>
        </w:tblPrEx>
        <w:tc>
          <w:tcPr>
            <w:tcW w:w="4410" w:type="dxa"/>
            <w:gridSpan w:val="2"/>
            <w:vAlign w:val="bottom"/>
          </w:tcPr>
          <w:p w14:paraId="6C4F3248" w14:textId="77777777" w:rsidR="0035631A" w:rsidRDefault="0035631A" w:rsidP="00051417">
            <w:pPr>
              <w:suppressAutoHyphens/>
              <w:rPr>
                <w:sz w:val="20"/>
              </w:rPr>
            </w:pPr>
            <w:r>
              <w:rPr>
                <w:b/>
                <w:bCs/>
                <w:sz w:val="20"/>
              </w:rPr>
              <w:t>Performance Measures</w:t>
            </w:r>
          </w:p>
        </w:tc>
        <w:tc>
          <w:tcPr>
            <w:tcW w:w="1170" w:type="dxa"/>
            <w:vAlign w:val="bottom"/>
          </w:tcPr>
          <w:p w14:paraId="3548E85F" w14:textId="77777777" w:rsidR="0035631A" w:rsidRPr="003A2144" w:rsidRDefault="0035631A" w:rsidP="006441A6">
            <w:pPr>
              <w:tabs>
                <w:tab w:val="left" w:pos="285"/>
                <w:tab w:val="center" w:pos="598"/>
              </w:tabs>
              <w:suppressAutoHyphens/>
              <w:jc w:val="center"/>
              <w:rPr>
                <w:b/>
                <w:color w:val="0000FF"/>
                <w:sz w:val="20"/>
              </w:rPr>
            </w:pPr>
            <w:r>
              <w:rPr>
                <w:b/>
                <w:sz w:val="20"/>
              </w:rPr>
              <w:t>2009</w:t>
            </w:r>
            <w:r w:rsidRPr="003A2144">
              <w:rPr>
                <w:b/>
                <w:sz w:val="20"/>
              </w:rPr>
              <w:t xml:space="preserve"> Actual</w:t>
            </w:r>
          </w:p>
        </w:tc>
        <w:tc>
          <w:tcPr>
            <w:tcW w:w="1170" w:type="dxa"/>
            <w:vAlign w:val="bottom"/>
          </w:tcPr>
          <w:p w14:paraId="490753DC" w14:textId="77777777" w:rsidR="0035631A" w:rsidRPr="003A2144" w:rsidRDefault="0035631A" w:rsidP="006441A6">
            <w:pPr>
              <w:tabs>
                <w:tab w:val="left" w:pos="285"/>
                <w:tab w:val="center" w:pos="598"/>
              </w:tabs>
              <w:suppressAutoHyphens/>
              <w:jc w:val="center"/>
              <w:rPr>
                <w:b/>
                <w:color w:val="0000FF"/>
                <w:sz w:val="20"/>
              </w:rPr>
            </w:pPr>
            <w:r>
              <w:rPr>
                <w:b/>
                <w:sz w:val="20"/>
              </w:rPr>
              <w:t>2010</w:t>
            </w:r>
            <w:r w:rsidRPr="003A2144">
              <w:rPr>
                <w:b/>
                <w:sz w:val="20"/>
              </w:rPr>
              <w:t xml:space="preserve"> Actual</w:t>
            </w:r>
          </w:p>
        </w:tc>
        <w:tc>
          <w:tcPr>
            <w:tcW w:w="1170" w:type="dxa"/>
          </w:tcPr>
          <w:p w14:paraId="39290679" w14:textId="77777777" w:rsidR="0035631A" w:rsidRPr="00986C2B" w:rsidRDefault="0035631A" w:rsidP="009B5E14">
            <w:pPr>
              <w:tabs>
                <w:tab w:val="left" w:pos="285"/>
                <w:tab w:val="center" w:pos="598"/>
              </w:tabs>
              <w:suppressAutoHyphens/>
              <w:jc w:val="center"/>
              <w:rPr>
                <w:b/>
                <w:sz w:val="20"/>
              </w:rPr>
            </w:pPr>
            <w:r>
              <w:rPr>
                <w:b/>
                <w:sz w:val="20"/>
              </w:rPr>
              <w:t>2011</w:t>
            </w:r>
            <w:r w:rsidRPr="00986C2B">
              <w:rPr>
                <w:b/>
                <w:sz w:val="20"/>
              </w:rPr>
              <w:t xml:space="preserve"> </w:t>
            </w:r>
            <w:r>
              <w:rPr>
                <w:b/>
                <w:sz w:val="20"/>
              </w:rPr>
              <w:t>Actual</w:t>
            </w:r>
          </w:p>
        </w:tc>
        <w:tc>
          <w:tcPr>
            <w:tcW w:w="1170" w:type="dxa"/>
          </w:tcPr>
          <w:p w14:paraId="75EA2AD8" w14:textId="77777777" w:rsidR="0035631A" w:rsidRPr="00986C2B" w:rsidRDefault="0035631A" w:rsidP="00CD2CB3">
            <w:pPr>
              <w:tabs>
                <w:tab w:val="left" w:pos="285"/>
                <w:tab w:val="center" w:pos="598"/>
              </w:tabs>
              <w:suppressAutoHyphens/>
              <w:jc w:val="center"/>
              <w:rPr>
                <w:b/>
                <w:sz w:val="20"/>
              </w:rPr>
            </w:pPr>
            <w:r>
              <w:rPr>
                <w:b/>
                <w:sz w:val="20"/>
              </w:rPr>
              <w:t>2012</w:t>
            </w:r>
            <w:r w:rsidRPr="00986C2B">
              <w:rPr>
                <w:b/>
                <w:sz w:val="20"/>
              </w:rPr>
              <w:t xml:space="preserve"> </w:t>
            </w:r>
            <w:r w:rsidR="00CD2CB3">
              <w:rPr>
                <w:b/>
                <w:sz w:val="20"/>
              </w:rPr>
              <w:t>Actual</w:t>
            </w:r>
          </w:p>
        </w:tc>
        <w:tc>
          <w:tcPr>
            <w:tcW w:w="1170" w:type="dxa"/>
          </w:tcPr>
          <w:p w14:paraId="337A86F9" w14:textId="77777777" w:rsidR="0035631A" w:rsidRDefault="0035631A" w:rsidP="009B5E14">
            <w:pPr>
              <w:tabs>
                <w:tab w:val="left" w:pos="285"/>
                <w:tab w:val="center" w:pos="598"/>
              </w:tabs>
              <w:suppressAutoHyphens/>
              <w:jc w:val="center"/>
              <w:rPr>
                <w:b/>
                <w:sz w:val="20"/>
              </w:rPr>
            </w:pPr>
            <w:r>
              <w:rPr>
                <w:b/>
                <w:sz w:val="20"/>
              </w:rPr>
              <w:t>2013</w:t>
            </w:r>
            <w:r w:rsidRPr="00986C2B">
              <w:rPr>
                <w:b/>
                <w:sz w:val="20"/>
              </w:rPr>
              <w:t xml:space="preserve"> Estimated</w:t>
            </w:r>
          </w:p>
        </w:tc>
        <w:tc>
          <w:tcPr>
            <w:tcW w:w="1170" w:type="dxa"/>
          </w:tcPr>
          <w:p w14:paraId="7E98C483" w14:textId="77777777" w:rsidR="0035631A" w:rsidRDefault="0035631A" w:rsidP="009B5E14">
            <w:pPr>
              <w:tabs>
                <w:tab w:val="left" w:pos="285"/>
                <w:tab w:val="center" w:pos="598"/>
              </w:tabs>
              <w:suppressAutoHyphens/>
              <w:jc w:val="center"/>
              <w:rPr>
                <w:b/>
                <w:sz w:val="20"/>
              </w:rPr>
            </w:pPr>
            <w:r>
              <w:rPr>
                <w:b/>
                <w:sz w:val="20"/>
              </w:rPr>
              <w:t>2014 Estimated</w:t>
            </w:r>
          </w:p>
        </w:tc>
      </w:tr>
      <w:tr w:rsidR="0035631A" w14:paraId="7EFDA85B" w14:textId="77777777" w:rsidTr="0035631A">
        <w:tblPrEx>
          <w:tblCellMar>
            <w:top w:w="0" w:type="dxa"/>
            <w:bottom w:w="0" w:type="dxa"/>
          </w:tblCellMar>
        </w:tblPrEx>
        <w:tc>
          <w:tcPr>
            <w:tcW w:w="1170" w:type="dxa"/>
            <w:vAlign w:val="bottom"/>
          </w:tcPr>
          <w:p w14:paraId="379D4990" w14:textId="77777777" w:rsidR="0035631A" w:rsidRDefault="0035631A" w:rsidP="0001434A">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rPr>
                <w:sz w:val="20"/>
              </w:rPr>
            </w:pPr>
            <w:r>
              <w:rPr>
                <w:sz w:val="20"/>
              </w:rPr>
              <w:t>Output</w:t>
            </w:r>
          </w:p>
        </w:tc>
        <w:tc>
          <w:tcPr>
            <w:tcW w:w="3240" w:type="dxa"/>
            <w:vAlign w:val="bottom"/>
          </w:tcPr>
          <w:p w14:paraId="281BDF4C" w14:textId="77777777" w:rsidR="0035631A" w:rsidRPr="00FD3D0D" w:rsidRDefault="0035631A" w:rsidP="00FD3D0D">
            <w:pPr>
              <w:suppressAutoHyphens/>
              <w:rPr>
                <w:sz w:val="20"/>
                <w:vertAlign w:val="superscript"/>
              </w:rPr>
            </w:pPr>
            <w:r>
              <w:rPr>
                <w:sz w:val="20"/>
              </w:rPr>
              <w:t>2</w:t>
            </w:r>
            <w:r>
              <w:rPr>
                <w:sz w:val="20"/>
                <w:vertAlign w:val="superscript"/>
              </w:rPr>
              <w:t>nd</w:t>
            </w:r>
            <w:r>
              <w:rPr>
                <w:sz w:val="20"/>
              </w:rPr>
              <w:t xml:space="preserve"> year first-time, full-time retention rate: all students</w:t>
            </w:r>
            <w:r>
              <w:rPr>
                <w:sz w:val="20"/>
                <w:vertAlign w:val="superscript"/>
              </w:rPr>
              <w:t>5</w:t>
            </w:r>
          </w:p>
        </w:tc>
        <w:tc>
          <w:tcPr>
            <w:tcW w:w="1170" w:type="dxa"/>
            <w:vAlign w:val="bottom"/>
          </w:tcPr>
          <w:p w14:paraId="5052331C" w14:textId="77777777" w:rsidR="0035631A" w:rsidRDefault="0035631A" w:rsidP="00393271">
            <w:pPr>
              <w:suppressAutoHyphens/>
              <w:jc w:val="center"/>
              <w:rPr>
                <w:sz w:val="20"/>
              </w:rPr>
            </w:pPr>
            <w:r>
              <w:rPr>
                <w:sz w:val="20"/>
              </w:rPr>
              <w:t>85.6%</w:t>
            </w:r>
          </w:p>
        </w:tc>
        <w:tc>
          <w:tcPr>
            <w:tcW w:w="1170" w:type="dxa"/>
            <w:vAlign w:val="bottom"/>
          </w:tcPr>
          <w:p w14:paraId="7C7FA477" w14:textId="77777777" w:rsidR="0035631A" w:rsidRPr="000B1917" w:rsidRDefault="0035631A" w:rsidP="00C238B5">
            <w:pPr>
              <w:tabs>
                <w:tab w:val="left" w:pos="285"/>
                <w:tab w:val="center" w:pos="598"/>
              </w:tabs>
              <w:suppressAutoHyphens/>
              <w:jc w:val="center"/>
              <w:rPr>
                <w:sz w:val="20"/>
              </w:rPr>
            </w:pPr>
            <w:r>
              <w:rPr>
                <w:sz w:val="20"/>
              </w:rPr>
              <w:t>83.3</w:t>
            </w:r>
            <w:r w:rsidRPr="000B1917">
              <w:rPr>
                <w:sz w:val="20"/>
              </w:rPr>
              <w:t>%</w:t>
            </w:r>
          </w:p>
        </w:tc>
        <w:tc>
          <w:tcPr>
            <w:tcW w:w="1170" w:type="dxa"/>
          </w:tcPr>
          <w:p w14:paraId="47D56DA1" w14:textId="77777777" w:rsidR="0035631A" w:rsidRDefault="0035631A" w:rsidP="00C238B5">
            <w:pPr>
              <w:suppressAutoHyphens/>
              <w:jc w:val="center"/>
              <w:rPr>
                <w:sz w:val="20"/>
              </w:rPr>
            </w:pPr>
          </w:p>
          <w:p w14:paraId="61DB91D4" w14:textId="77777777" w:rsidR="0035631A" w:rsidRPr="000B1917" w:rsidRDefault="0035631A" w:rsidP="00C238B5">
            <w:pPr>
              <w:suppressAutoHyphens/>
              <w:jc w:val="center"/>
              <w:rPr>
                <w:sz w:val="20"/>
              </w:rPr>
            </w:pPr>
            <w:r>
              <w:rPr>
                <w:sz w:val="20"/>
              </w:rPr>
              <w:t>84.6</w:t>
            </w:r>
            <w:r w:rsidRPr="000B1917">
              <w:rPr>
                <w:sz w:val="20"/>
              </w:rPr>
              <w:t>%</w:t>
            </w:r>
          </w:p>
        </w:tc>
        <w:tc>
          <w:tcPr>
            <w:tcW w:w="1170" w:type="dxa"/>
            <w:vAlign w:val="bottom"/>
          </w:tcPr>
          <w:p w14:paraId="3F7651C6" w14:textId="77777777" w:rsidR="0035631A" w:rsidRPr="002B6B9B" w:rsidRDefault="00CD2CB3" w:rsidP="0001434A">
            <w:pPr>
              <w:suppressAutoHyphens/>
              <w:jc w:val="center"/>
              <w:rPr>
                <w:sz w:val="20"/>
              </w:rPr>
            </w:pPr>
            <w:r>
              <w:rPr>
                <w:sz w:val="20"/>
              </w:rPr>
              <w:t>85.5</w:t>
            </w:r>
            <w:r w:rsidR="0035631A" w:rsidRPr="002B6B9B">
              <w:rPr>
                <w:sz w:val="20"/>
              </w:rPr>
              <w:t>%</w:t>
            </w:r>
          </w:p>
        </w:tc>
        <w:tc>
          <w:tcPr>
            <w:tcW w:w="1170" w:type="dxa"/>
          </w:tcPr>
          <w:p w14:paraId="392BF804" w14:textId="77777777" w:rsidR="0035631A" w:rsidRPr="002B6B9B" w:rsidRDefault="0035631A" w:rsidP="0001434A">
            <w:pPr>
              <w:suppressAutoHyphens/>
              <w:jc w:val="center"/>
              <w:rPr>
                <w:sz w:val="20"/>
              </w:rPr>
            </w:pPr>
          </w:p>
          <w:p w14:paraId="66D6782F" w14:textId="77777777" w:rsidR="0035631A" w:rsidRPr="00666E37" w:rsidRDefault="0035631A" w:rsidP="0001434A">
            <w:pPr>
              <w:suppressAutoHyphens/>
              <w:jc w:val="center"/>
              <w:rPr>
                <w:sz w:val="20"/>
              </w:rPr>
            </w:pPr>
            <w:r w:rsidRPr="00666E37">
              <w:rPr>
                <w:sz w:val="20"/>
              </w:rPr>
              <w:t>85.9%</w:t>
            </w:r>
          </w:p>
        </w:tc>
        <w:tc>
          <w:tcPr>
            <w:tcW w:w="1170" w:type="dxa"/>
          </w:tcPr>
          <w:p w14:paraId="4CCD8EE5" w14:textId="77777777" w:rsidR="0035631A" w:rsidRDefault="0035631A" w:rsidP="0001434A">
            <w:pPr>
              <w:suppressAutoHyphens/>
              <w:jc w:val="center"/>
              <w:rPr>
                <w:sz w:val="20"/>
              </w:rPr>
            </w:pPr>
          </w:p>
          <w:p w14:paraId="04EFCFA5" w14:textId="77777777" w:rsidR="00666E37" w:rsidRPr="002B6B9B" w:rsidRDefault="00666E37" w:rsidP="00666E37">
            <w:pPr>
              <w:suppressAutoHyphens/>
              <w:jc w:val="center"/>
              <w:rPr>
                <w:sz w:val="20"/>
              </w:rPr>
            </w:pPr>
            <w:r>
              <w:rPr>
                <w:sz w:val="20"/>
              </w:rPr>
              <w:t>86.1%</w:t>
            </w:r>
          </w:p>
        </w:tc>
      </w:tr>
    </w:tbl>
    <w:p w14:paraId="6430ACD5" w14:textId="77777777" w:rsidR="00585C01" w:rsidRDefault="00585C01" w:rsidP="00051417">
      <w:pPr>
        <w:widowControl/>
        <w:tabs>
          <w:tab w:val="left" w:pos="1710"/>
        </w:tabs>
        <w:jc w:val="both"/>
        <w:rPr>
          <w:b/>
          <w:bCs/>
          <w:sz w:val="20"/>
        </w:rPr>
      </w:pPr>
    </w:p>
    <w:p w14:paraId="3A63584C" w14:textId="77777777" w:rsidR="00585C01" w:rsidRDefault="001B7B8C" w:rsidP="00586D52">
      <w:pPr>
        <w:tabs>
          <w:tab w:val="left" w:pos="1710"/>
          <w:tab w:val="right" w:pos="5940"/>
          <w:tab w:val="right" w:pos="7380"/>
          <w:tab w:val="right" w:pos="8730"/>
          <w:tab w:val="right" w:pos="9990"/>
          <w:tab w:val="right" w:pos="11430"/>
          <w:tab w:val="right" w:pos="12780"/>
        </w:tabs>
        <w:snapToGrid w:val="0"/>
        <w:ind w:left="1710" w:right="-54" w:hanging="1350"/>
        <w:rPr>
          <w:sz w:val="20"/>
        </w:rPr>
      </w:pPr>
      <w:r>
        <w:rPr>
          <w:b/>
          <w:bCs/>
          <w:sz w:val="20"/>
        </w:rPr>
        <w:br w:type="page"/>
      </w:r>
      <w:r w:rsidR="00585C01">
        <w:rPr>
          <w:b/>
          <w:bCs/>
          <w:sz w:val="20"/>
        </w:rPr>
        <w:lastRenderedPageBreak/>
        <w:t>Objective 4.2</w:t>
      </w:r>
      <w:r w:rsidR="00585C01">
        <w:rPr>
          <w:sz w:val="20"/>
        </w:rPr>
        <w:tab/>
      </w:r>
      <w:r w:rsidR="00585C01">
        <w:rPr>
          <w:bCs/>
          <w:sz w:val="20"/>
        </w:rPr>
        <w:t xml:space="preserve">The second-year retention rates of SU first-time, full-time African-American freshmen </w:t>
      </w:r>
      <w:r w:rsidR="007F54F7">
        <w:rPr>
          <w:sz w:val="20"/>
        </w:rPr>
        <w:t>will increase from 79.1</w:t>
      </w:r>
      <w:r w:rsidR="00585C01">
        <w:rPr>
          <w:sz w:val="20"/>
        </w:rPr>
        <w:t>% in 200</w:t>
      </w:r>
      <w:r w:rsidR="00CA71C2">
        <w:rPr>
          <w:sz w:val="20"/>
        </w:rPr>
        <w:t>9 to 84.1</w:t>
      </w:r>
      <w:r w:rsidR="007F54F7">
        <w:rPr>
          <w:sz w:val="20"/>
        </w:rPr>
        <w:t>% in 2014</w:t>
      </w:r>
      <w:r w:rsidR="00585C01">
        <w:rPr>
          <w:sz w:val="20"/>
        </w:rPr>
        <w:t>.</w:t>
      </w:r>
    </w:p>
    <w:p w14:paraId="103F2B30" w14:textId="77777777" w:rsidR="00586D52" w:rsidRDefault="00586D52" w:rsidP="00586D52">
      <w:pPr>
        <w:tabs>
          <w:tab w:val="right" w:pos="5940"/>
          <w:tab w:val="right" w:pos="7380"/>
          <w:tab w:val="right" w:pos="8730"/>
          <w:tab w:val="right" w:pos="9990"/>
          <w:tab w:val="right" w:pos="11430"/>
          <w:tab w:val="right" w:pos="12780"/>
        </w:tabs>
        <w:snapToGrid w:val="0"/>
        <w:ind w:right="-54"/>
        <w:rPr>
          <w:b/>
          <w:bCs/>
          <w:sz w:val="20"/>
        </w:rPr>
      </w:pPr>
    </w:p>
    <w:tbl>
      <w:tblPr>
        <w:tblW w:w="11430" w:type="dxa"/>
        <w:tblInd w:w="468" w:type="dxa"/>
        <w:tblLayout w:type="fixed"/>
        <w:tblLook w:val="0000" w:firstRow="0" w:lastRow="0" w:firstColumn="0" w:lastColumn="0" w:noHBand="0" w:noVBand="0"/>
      </w:tblPr>
      <w:tblGrid>
        <w:gridCol w:w="1170"/>
        <w:gridCol w:w="3240"/>
        <w:gridCol w:w="1170"/>
        <w:gridCol w:w="1170"/>
        <w:gridCol w:w="1170"/>
        <w:gridCol w:w="1170"/>
        <w:gridCol w:w="1170"/>
        <w:gridCol w:w="1170"/>
      </w:tblGrid>
      <w:tr w:rsidR="0035631A" w14:paraId="616ED956" w14:textId="77777777" w:rsidTr="0035631A">
        <w:tblPrEx>
          <w:tblCellMar>
            <w:top w:w="0" w:type="dxa"/>
            <w:bottom w:w="0" w:type="dxa"/>
          </w:tblCellMar>
        </w:tblPrEx>
        <w:tc>
          <w:tcPr>
            <w:tcW w:w="4410" w:type="dxa"/>
            <w:gridSpan w:val="2"/>
            <w:vAlign w:val="bottom"/>
          </w:tcPr>
          <w:p w14:paraId="6268802A" w14:textId="77777777" w:rsidR="0035631A" w:rsidRDefault="0035631A" w:rsidP="00586D52">
            <w:pPr>
              <w:suppressAutoHyphens/>
              <w:rPr>
                <w:sz w:val="20"/>
              </w:rPr>
            </w:pPr>
            <w:r>
              <w:rPr>
                <w:b/>
                <w:bCs/>
                <w:sz w:val="20"/>
              </w:rPr>
              <w:t>Performance Measures</w:t>
            </w:r>
          </w:p>
        </w:tc>
        <w:tc>
          <w:tcPr>
            <w:tcW w:w="1170" w:type="dxa"/>
            <w:vAlign w:val="bottom"/>
          </w:tcPr>
          <w:p w14:paraId="5E09C025" w14:textId="77777777" w:rsidR="0035631A" w:rsidRPr="003A2144" w:rsidRDefault="0035631A" w:rsidP="006441A6">
            <w:pPr>
              <w:tabs>
                <w:tab w:val="left" w:pos="285"/>
                <w:tab w:val="center" w:pos="598"/>
              </w:tabs>
              <w:suppressAutoHyphens/>
              <w:jc w:val="center"/>
              <w:rPr>
                <w:b/>
                <w:color w:val="0000FF"/>
                <w:sz w:val="20"/>
              </w:rPr>
            </w:pPr>
            <w:r>
              <w:rPr>
                <w:b/>
                <w:sz w:val="20"/>
              </w:rPr>
              <w:t>2009</w:t>
            </w:r>
            <w:r w:rsidRPr="003A2144">
              <w:rPr>
                <w:b/>
                <w:sz w:val="20"/>
              </w:rPr>
              <w:t xml:space="preserve"> Actual</w:t>
            </w:r>
          </w:p>
        </w:tc>
        <w:tc>
          <w:tcPr>
            <w:tcW w:w="1170" w:type="dxa"/>
            <w:vAlign w:val="bottom"/>
          </w:tcPr>
          <w:p w14:paraId="371D3311" w14:textId="77777777" w:rsidR="0035631A" w:rsidRPr="003A2144" w:rsidRDefault="0035631A" w:rsidP="00586D52">
            <w:pPr>
              <w:tabs>
                <w:tab w:val="left" w:pos="285"/>
                <w:tab w:val="center" w:pos="598"/>
              </w:tabs>
              <w:suppressAutoHyphens/>
              <w:jc w:val="center"/>
              <w:rPr>
                <w:b/>
                <w:color w:val="0000FF"/>
                <w:sz w:val="20"/>
              </w:rPr>
            </w:pPr>
            <w:r>
              <w:rPr>
                <w:b/>
                <w:sz w:val="20"/>
              </w:rPr>
              <w:t>2010</w:t>
            </w:r>
            <w:r w:rsidRPr="003A2144">
              <w:rPr>
                <w:b/>
                <w:sz w:val="20"/>
              </w:rPr>
              <w:t xml:space="preserve"> Actual</w:t>
            </w:r>
          </w:p>
        </w:tc>
        <w:tc>
          <w:tcPr>
            <w:tcW w:w="1170" w:type="dxa"/>
          </w:tcPr>
          <w:p w14:paraId="763CF507" w14:textId="77777777" w:rsidR="0035631A" w:rsidRPr="00986C2B" w:rsidRDefault="0035631A" w:rsidP="00275B5E">
            <w:pPr>
              <w:tabs>
                <w:tab w:val="left" w:pos="285"/>
                <w:tab w:val="center" w:pos="598"/>
              </w:tabs>
              <w:suppressAutoHyphens/>
              <w:jc w:val="center"/>
              <w:rPr>
                <w:b/>
                <w:sz w:val="20"/>
              </w:rPr>
            </w:pPr>
            <w:r>
              <w:rPr>
                <w:b/>
                <w:sz w:val="20"/>
              </w:rPr>
              <w:t>2011</w:t>
            </w:r>
            <w:r w:rsidRPr="00986C2B">
              <w:rPr>
                <w:b/>
                <w:sz w:val="20"/>
              </w:rPr>
              <w:t xml:space="preserve"> </w:t>
            </w:r>
            <w:r>
              <w:rPr>
                <w:b/>
                <w:sz w:val="20"/>
              </w:rPr>
              <w:t>Actual</w:t>
            </w:r>
          </w:p>
        </w:tc>
        <w:tc>
          <w:tcPr>
            <w:tcW w:w="1170" w:type="dxa"/>
          </w:tcPr>
          <w:p w14:paraId="1B91164A" w14:textId="77777777" w:rsidR="0035631A" w:rsidRPr="00986C2B" w:rsidRDefault="0035631A" w:rsidP="00CD2CB3">
            <w:pPr>
              <w:tabs>
                <w:tab w:val="left" w:pos="285"/>
                <w:tab w:val="center" w:pos="598"/>
              </w:tabs>
              <w:suppressAutoHyphens/>
              <w:jc w:val="center"/>
              <w:rPr>
                <w:b/>
                <w:sz w:val="20"/>
              </w:rPr>
            </w:pPr>
            <w:r>
              <w:rPr>
                <w:b/>
                <w:sz w:val="20"/>
              </w:rPr>
              <w:t>2012</w:t>
            </w:r>
            <w:r w:rsidRPr="00986C2B">
              <w:rPr>
                <w:b/>
                <w:sz w:val="20"/>
              </w:rPr>
              <w:t xml:space="preserve"> </w:t>
            </w:r>
            <w:r w:rsidR="00CD2CB3">
              <w:rPr>
                <w:b/>
                <w:sz w:val="20"/>
              </w:rPr>
              <w:t>Actual</w:t>
            </w:r>
          </w:p>
        </w:tc>
        <w:tc>
          <w:tcPr>
            <w:tcW w:w="1170" w:type="dxa"/>
          </w:tcPr>
          <w:p w14:paraId="2810DB64" w14:textId="77777777" w:rsidR="0035631A" w:rsidRDefault="0035631A" w:rsidP="00C238B5">
            <w:pPr>
              <w:tabs>
                <w:tab w:val="left" w:pos="285"/>
                <w:tab w:val="center" w:pos="598"/>
              </w:tabs>
              <w:suppressAutoHyphens/>
              <w:jc w:val="center"/>
              <w:rPr>
                <w:b/>
                <w:sz w:val="20"/>
              </w:rPr>
            </w:pPr>
            <w:r>
              <w:rPr>
                <w:b/>
                <w:sz w:val="20"/>
              </w:rPr>
              <w:t>2013</w:t>
            </w:r>
            <w:r w:rsidRPr="00986C2B">
              <w:rPr>
                <w:b/>
                <w:sz w:val="20"/>
              </w:rPr>
              <w:t xml:space="preserve"> Estimated</w:t>
            </w:r>
          </w:p>
        </w:tc>
        <w:tc>
          <w:tcPr>
            <w:tcW w:w="1170" w:type="dxa"/>
          </w:tcPr>
          <w:p w14:paraId="29BD623F" w14:textId="77777777" w:rsidR="0035631A" w:rsidRDefault="0035631A" w:rsidP="00C238B5">
            <w:pPr>
              <w:tabs>
                <w:tab w:val="left" w:pos="285"/>
                <w:tab w:val="center" w:pos="598"/>
              </w:tabs>
              <w:suppressAutoHyphens/>
              <w:jc w:val="center"/>
              <w:rPr>
                <w:b/>
                <w:sz w:val="20"/>
              </w:rPr>
            </w:pPr>
            <w:r>
              <w:rPr>
                <w:b/>
                <w:sz w:val="20"/>
              </w:rPr>
              <w:t>2014 Estimated</w:t>
            </w:r>
          </w:p>
        </w:tc>
      </w:tr>
      <w:tr w:rsidR="0035631A" w14:paraId="2DE2A3BC" w14:textId="77777777" w:rsidTr="0035631A">
        <w:tblPrEx>
          <w:tblCellMar>
            <w:top w:w="0" w:type="dxa"/>
            <w:bottom w:w="0" w:type="dxa"/>
          </w:tblCellMar>
        </w:tblPrEx>
        <w:tc>
          <w:tcPr>
            <w:tcW w:w="1170" w:type="dxa"/>
            <w:vAlign w:val="bottom"/>
          </w:tcPr>
          <w:p w14:paraId="749498E6" w14:textId="77777777" w:rsidR="0035631A" w:rsidRPr="002B6B9B" w:rsidRDefault="0035631A" w:rsidP="0001434A">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rPr>
                <w:sz w:val="20"/>
              </w:rPr>
            </w:pPr>
            <w:r w:rsidRPr="002B6B9B">
              <w:rPr>
                <w:sz w:val="20"/>
              </w:rPr>
              <w:t>Output</w:t>
            </w:r>
          </w:p>
        </w:tc>
        <w:tc>
          <w:tcPr>
            <w:tcW w:w="3240" w:type="dxa"/>
            <w:vAlign w:val="bottom"/>
          </w:tcPr>
          <w:p w14:paraId="03BA9589" w14:textId="77777777" w:rsidR="0035631A" w:rsidRPr="002B6B9B" w:rsidRDefault="0035631A" w:rsidP="0001434A">
            <w:pPr>
              <w:suppressAutoHyphens/>
              <w:rPr>
                <w:sz w:val="20"/>
                <w:vertAlign w:val="superscript"/>
              </w:rPr>
            </w:pPr>
            <w:r w:rsidRPr="002B6B9B">
              <w:rPr>
                <w:sz w:val="20"/>
              </w:rPr>
              <w:t>2</w:t>
            </w:r>
            <w:r w:rsidRPr="002B6B9B">
              <w:rPr>
                <w:sz w:val="20"/>
                <w:vertAlign w:val="superscript"/>
              </w:rPr>
              <w:t>nd</w:t>
            </w:r>
            <w:r w:rsidRPr="002B6B9B">
              <w:rPr>
                <w:sz w:val="20"/>
              </w:rPr>
              <w:t xml:space="preserve"> year first-time, full-time retention rate: African-American students</w:t>
            </w:r>
            <w:r w:rsidRPr="002B6B9B">
              <w:rPr>
                <w:sz w:val="20"/>
                <w:vertAlign w:val="superscript"/>
              </w:rPr>
              <w:t>5</w:t>
            </w:r>
          </w:p>
        </w:tc>
        <w:tc>
          <w:tcPr>
            <w:tcW w:w="1170" w:type="dxa"/>
            <w:vAlign w:val="bottom"/>
          </w:tcPr>
          <w:p w14:paraId="2807647D" w14:textId="77777777" w:rsidR="0035631A" w:rsidRPr="002B6B9B" w:rsidRDefault="0035631A" w:rsidP="006441A6">
            <w:pPr>
              <w:suppressAutoHyphens/>
              <w:jc w:val="center"/>
              <w:rPr>
                <w:sz w:val="20"/>
              </w:rPr>
            </w:pPr>
            <w:r w:rsidRPr="002B6B9B">
              <w:rPr>
                <w:sz w:val="20"/>
              </w:rPr>
              <w:t>79.1%</w:t>
            </w:r>
          </w:p>
        </w:tc>
        <w:tc>
          <w:tcPr>
            <w:tcW w:w="1170" w:type="dxa"/>
            <w:vAlign w:val="bottom"/>
          </w:tcPr>
          <w:p w14:paraId="3EA6E055" w14:textId="77777777" w:rsidR="0035631A" w:rsidRPr="002B6B9B" w:rsidRDefault="0035631A" w:rsidP="00C238B5">
            <w:pPr>
              <w:tabs>
                <w:tab w:val="left" w:pos="285"/>
                <w:tab w:val="center" w:pos="598"/>
              </w:tabs>
              <w:suppressAutoHyphens/>
              <w:jc w:val="center"/>
              <w:rPr>
                <w:sz w:val="20"/>
              </w:rPr>
            </w:pPr>
            <w:r w:rsidRPr="002B6B9B">
              <w:rPr>
                <w:sz w:val="20"/>
              </w:rPr>
              <w:t>82.6%</w:t>
            </w:r>
          </w:p>
        </w:tc>
        <w:tc>
          <w:tcPr>
            <w:tcW w:w="1170" w:type="dxa"/>
          </w:tcPr>
          <w:p w14:paraId="22F8FD50" w14:textId="77777777" w:rsidR="0035631A" w:rsidRPr="002B6B9B" w:rsidRDefault="0035631A" w:rsidP="00C238B5">
            <w:pPr>
              <w:suppressAutoHyphens/>
              <w:jc w:val="center"/>
              <w:rPr>
                <w:sz w:val="20"/>
              </w:rPr>
            </w:pPr>
          </w:p>
          <w:p w14:paraId="451AB723" w14:textId="77777777" w:rsidR="0035631A" w:rsidRPr="002B6B9B" w:rsidRDefault="0035631A" w:rsidP="00C238B5">
            <w:pPr>
              <w:suppressAutoHyphens/>
              <w:jc w:val="center"/>
              <w:rPr>
                <w:sz w:val="20"/>
              </w:rPr>
            </w:pPr>
            <w:r w:rsidRPr="002B6B9B">
              <w:rPr>
                <w:sz w:val="20"/>
              </w:rPr>
              <w:t>83.3%</w:t>
            </w:r>
          </w:p>
        </w:tc>
        <w:tc>
          <w:tcPr>
            <w:tcW w:w="1170" w:type="dxa"/>
            <w:vAlign w:val="bottom"/>
          </w:tcPr>
          <w:p w14:paraId="2CF081B9" w14:textId="77777777" w:rsidR="0035631A" w:rsidRPr="002B6B9B" w:rsidRDefault="00CD2CB3" w:rsidP="002B6B9B">
            <w:pPr>
              <w:suppressAutoHyphens/>
              <w:jc w:val="center"/>
              <w:rPr>
                <w:sz w:val="20"/>
              </w:rPr>
            </w:pPr>
            <w:r>
              <w:rPr>
                <w:sz w:val="20"/>
              </w:rPr>
              <w:t>85.4</w:t>
            </w:r>
            <w:r w:rsidR="0035631A" w:rsidRPr="002B6B9B">
              <w:rPr>
                <w:sz w:val="20"/>
              </w:rPr>
              <w:t>%</w:t>
            </w:r>
          </w:p>
        </w:tc>
        <w:tc>
          <w:tcPr>
            <w:tcW w:w="1170" w:type="dxa"/>
          </w:tcPr>
          <w:p w14:paraId="21AD5F0A" w14:textId="77777777" w:rsidR="0035631A" w:rsidRPr="00666E37" w:rsidRDefault="0035631A" w:rsidP="0001434A">
            <w:pPr>
              <w:suppressAutoHyphens/>
              <w:jc w:val="center"/>
              <w:rPr>
                <w:sz w:val="20"/>
              </w:rPr>
            </w:pPr>
          </w:p>
          <w:p w14:paraId="1323CB64" w14:textId="77777777" w:rsidR="0035631A" w:rsidRPr="00666E37" w:rsidRDefault="00666E37" w:rsidP="0001434A">
            <w:pPr>
              <w:suppressAutoHyphens/>
              <w:jc w:val="center"/>
              <w:rPr>
                <w:sz w:val="20"/>
              </w:rPr>
            </w:pPr>
            <w:r w:rsidRPr="00666E37">
              <w:rPr>
                <w:sz w:val="20"/>
              </w:rPr>
              <w:t>85.6</w:t>
            </w:r>
            <w:r w:rsidR="0035631A" w:rsidRPr="00666E37">
              <w:rPr>
                <w:sz w:val="20"/>
              </w:rPr>
              <w:t>%</w:t>
            </w:r>
          </w:p>
        </w:tc>
        <w:tc>
          <w:tcPr>
            <w:tcW w:w="1170" w:type="dxa"/>
          </w:tcPr>
          <w:p w14:paraId="5F3E7D1D" w14:textId="77777777" w:rsidR="0035631A" w:rsidRPr="00666E37" w:rsidRDefault="0035631A" w:rsidP="0001434A">
            <w:pPr>
              <w:suppressAutoHyphens/>
              <w:jc w:val="center"/>
              <w:rPr>
                <w:sz w:val="20"/>
              </w:rPr>
            </w:pPr>
          </w:p>
          <w:p w14:paraId="7B52ADCE" w14:textId="77777777" w:rsidR="00666E37" w:rsidRPr="00666E37" w:rsidRDefault="00666E37" w:rsidP="0001434A">
            <w:pPr>
              <w:suppressAutoHyphens/>
              <w:jc w:val="center"/>
              <w:rPr>
                <w:sz w:val="20"/>
              </w:rPr>
            </w:pPr>
            <w:r w:rsidRPr="00666E37">
              <w:rPr>
                <w:sz w:val="20"/>
              </w:rPr>
              <w:t>85.7%</w:t>
            </w:r>
          </w:p>
        </w:tc>
      </w:tr>
    </w:tbl>
    <w:p w14:paraId="6AB02C5A" w14:textId="77777777" w:rsidR="00585C01" w:rsidRDefault="00585C01" w:rsidP="00585C01">
      <w:pPr>
        <w:rPr>
          <w:sz w:val="20"/>
        </w:rPr>
      </w:pPr>
    </w:p>
    <w:p w14:paraId="03A2565C" w14:textId="77777777" w:rsidR="00585C01" w:rsidRDefault="00585C01" w:rsidP="00585C01">
      <w:pPr>
        <w:widowControl/>
        <w:tabs>
          <w:tab w:val="left" w:pos="1710"/>
        </w:tabs>
        <w:ind w:left="360"/>
        <w:jc w:val="both"/>
        <w:rPr>
          <w:b/>
          <w:bCs/>
          <w:sz w:val="20"/>
        </w:rPr>
      </w:pPr>
    </w:p>
    <w:p w14:paraId="05D7BCDA" w14:textId="77777777" w:rsidR="00585C01" w:rsidRDefault="00585C01" w:rsidP="00491BC4">
      <w:pPr>
        <w:widowControl/>
        <w:tabs>
          <w:tab w:val="left" w:pos="1710"/>
        </w:tabs>
        <w:ind w:left="1710" w:hanging="1350"/>
        <w:jc w:val="both"/>
        <w:rPr>
          <w:bCs/>
          <w:sz w:val="20"/>
        </w:rPr>
      </w:pPr>
      <w:r>
        <w:rPr>
          <w:b/>
          <w:bCs/>
          <w:sz w:val="20"/>
        </w:rPr>
        <w:t>Objective 4.3</w:t>
      </w:r>
      <w:r>
        <w:rPr>
          <w:sz w:val="20"/>
        </w:rPr>
        <w:tab/>
      </w:r>
      <w:r>
        <w:rPr>
          <w:bCs/>
          <w:sz w:val="20"/>
        </w:rPr>
        <w:t xml:space="preserve">The second-year retention rates of SU first-time, full-time minority freshmen </w:t>
      </w:r>
      <w:r w:rsidR="00FD2794">
        <w:rPr>
          <w:sz w:val="20"/>
        </w:rPr>
        <w:t>will inc</w:t>
      </w:r>
      <w:r w:rsidR="00CA71C2">
        <w:rPr>
          <w:sz w:val="20"/>
        </w:rPr>
        <w:t xml:space="preserve">rease from 80.5% in 2009 to </w:t>
      </w:r>
      <w:r w:rsidR="00D67803">
        <w:rPr>
          <w:sz w:val="20"/>
        </w:rPr>
        <w:t>84.6</w:t>
      </w:r>
      <w:r w:rsidR="00FD2794">
        <w:rPr>
          <w:sz w:val="20"/>
        </w:rPr>
        <w:t>% in 2014</w:t>
      </w:r>
      <w:r>
        <w:rPr>
          <w:bCs/>
          <w:sz w:val="20"/>
        </w:rPr>
        <w:t>.</w:t>
      </w:r>
    </w:p>
    <w:p w14:paraId="407497DD" w14:textId="77777777" w:rsidR="00491BC4" w:rsidRDefault="00491BC4" w:rsidP="00491BC4">
      <w:pPr>
        <w:widowControl/>
        <w:tabs>
          <w:tab w:val="left" w:pos="1710"/>
        </w:tabs>
        <w:ind w:left="1710" w:hanging="1350"/>
        <w:jc w:val="both"/>
        <w:rPr>
          <w:bCs/>
          <w:sz w:val="20"/>
        </w:rPr>
      </w:pPr>
    </w:p>
    <w:tbl>
      <w:tblPr>
        <w:tblW w:w="11430" w:type="dxa"/>
        <w:tblInd w:w="468" w:type="dxa"/>
        <w:tblLayout w:type="fixed"/>
        <w:tblLook w:val="0000" w:firstRow="0" w:lastRow="0" w:firstColumn="0" w:lastColumn="0" w:noHBand="0" w:noVBand="0"/>
      </w:tblPr>
      <w:tblGrid>
        <w:gridCol w:w="1170"/>
        <w:gridCol w:w="3240"/>
        <w:gridCol w:w="990"/>
        <w:gridCol w:w="1260"/>
        <w:gridCol w:w="1260"/>
        <w:gridCol w:w="1170"/>
        <w:gridCol w:w="1170"/>
        <w:gridCol w:w="1170"/>
      </w:tblGrid>
      <w:tr w:rsidR="0035631A" w14:paraId="6BEA0214" w14:textId="77777777" w:rsidTr="0035631A">
        <w:tblPrEx>
          <w:tblCellMar>
            <w:top w:w="0" w:type="dxa"/>
            <w:bottom w:w="0" w:type="dxa"/>
          </w:tblCellMar>
        </w:tblPrEx>
        <w:tc>
          <w:tcPr>
            <w:tcW w:w="4410" w:type="dxa"/>
            <w:gridSpan w:val="2"/>
            <w:vAlign w:val="bottom"/>
          </w:tcPr>
          <w:p w14:paraId="53F2DA9E" w14:textId="77777777" w:rsidR="0035631A" w:rsidRDefault="0035631A" w:rsidP="00E83818">
            <w:pPr>
              <w:suppressAutoHyphens/>
              <w:rPr>
                <w:sz w:val="20"/>
              </w:rPr>
            </w:pPr>
            <w:r>
              <w:rPr>
                <w:b/>
                <w:bCs/>
                <w:sz w:val="20"/>
              </w:rPr>
              <w:t>Performance Measures</w:t>
            </w:r>
          </w:p>
        </w:tc>
        <w:tc>
          <w:tcPr>
            <w:tcW w:w="990" w:type="dxa"/>
            <w:vAlign w:val="bottom"/>
          </w:tcPr>
          <w:p w14:paraId="26B9B75E" w14:textId="77777777" w:rsidR="0035631A" w:rsidRPr="003A2144" w:rsidRDefault="0035631A" w:rsidP="00405A71">
            <w:pPr>
              <w:tabs>
                <w:tab w:val="left" w:pos="285"/>
                <w:tab w:val="center" w:pos="598"/>
              </w:tabs>
              <w:suppressAutoHyphens/>
              <w:jc w:val="center"/>
              <w:rPr>
                <w:b/>
                <w:color w:val="0000FF"/>
                <w:sz w:val="20"/>
              </w:rPr>
            </w:pPr>
            <w:r>
              <w:rPr>
                <w:b/>
                <w:sz w:val="20"/>
              </w:rPr>
              <w:t xml:space="preserve">2009 </w:t>
            </w:r>
            <w:r w:rsidRPr="003A2144">
              <w:rPr>
                <w:b/>
                <w:sz w:val="20"/>
              </w:rPr>
              <w:t>Actual</w:t>
            </w:r>
          </w:p>
        </w:tc>
        <w:tc>
          <w:tcPr>
            <w:tcW w:w="1260" w:type="dxa"/>
            <w:vAlign w:val="bottom"/>
          </w:tcPr>
          <w:p w14:paraId="3DBC4E11" w14:textId="77777777" w:rsidR="0035631A" w:rsidRDefault="0035631A" w:rsidP="00E83818">
            <w:pPr>
              <w:tabs>
                <w:tab w:val="left" w:pos="285"/>
                <w:tab w:val="center" w:pos="598"/>
              </w:tabs>
              <w:suppressAutoHyphens/>
              <w:jc w:val="center"/>
              <w:rPr>
                <w:b/>
                <w:sz w:val="20"/>
              </w:rPr>
            </w:pPr>
            <w:r>
              <w:rPr>
                <w:b/>
                <w:sz w:val="20"/>
              </w:rPr>
              <w:t>2010</w:t>
            </w:r>
            <w:r w:rsidRPr="003A2144">
              <w:rPr>
                <w:b/>
                <w:sz w:val="20"/>
              </w:rPr>
              <w:t xml:space="preserve"> </w:t>
            </w:r>
          </w:p>
          <w:p w14:paraId="7C0BAF80" w14:textId="77777777" w:rsidR="0035631A" w:rsidRPr="003A2144" w:rsidRDefault="0035631A" w:rsidP="00E83818">
            <w:pPr>
              <w:tabs>
                <w:tab w:val="left" w:pos="285"/>
                <w:tab w:val="center" w:pos="598"/>
              </w:tabs>
              <w:suppressAutoHyphens/>
              <w:jc w:val="center"/>
              <w:rPr>
                <w:b/>
                <w:color w:val="0000FF"/>
                <w:sz w:val="20"/>
              </w:rPr>
            </w:pPr>
            <w:r w:rsidRPr="003A2144">
              <w:rPr>
                <w:b/>
                <w:sz w:val="20"/>
              </w:rPr>
              <w:t>Actual</w:t>
            </w:r>
          </w:p>
        </w:tc>
        <w:tc>
          <w:tcPr>
            <w:tcW w:w="1260" w:type="dxa"/>
          </w:tcPr>
          <w:p w14:paraId="6758ACB8" w14:textId="77777777" w:rsidR="0035631A" w:rsidRDefault="0035631A" w:rsidP="00C238B5">
            <w:pPr>
              <w:tabs>
                <w:tab w:val="left" w:pos="285"/>
                <w:tab w:val="center" w:pos="598"/>
              </w:tabs>
              <w:suppressAutoHyphens/>
              <w:jc w:val="center"/>
              <w:rPr>
                <w:b/>
                <w:sz w:val="20"/>
              </w:rPr>
            </w:pPr>
            <w:r>
              <w:rPr>
                <w:b/>
                <w:sz w:val="20"/>
              </w:rPr>
              <w:t>2011</w:t>
            </w:r>
            <w:r w:rsidRPr="00986C2B">
              <w:rPr>
                <w:b/>
                <w:sz w:val="20"/>
              </w:rPr>
              <w:t xml:space="preserve"> </w:t>
            </w:r>
          </w:p>
          <w:p w14:paraId="4FE70C59" w14:textId="77777777" w:rsidR="0035631A" w:rsidRPr="00986C2B" w:rsidRDefault="0035631A" w:rsidP="00C238B5">
            <w:pPr>
              <w:tabs>
                <w:tab w:val="left" w:pos="285"/>
                <w:tab w:val="center" w:pos="598"/>
              </w:tabs>
              <w:suppressAutoHyphens/>
              <w:jc w:val="center"/>
              <w:rPr>
                <w:b/>
                <w:sz w:val="20"/>
              </w:rPr>
            </w:pPr>
            <w:r>
              <w:rPr>
                <w:b/>
                <w:sz w:val="20"/>
              </w:rPr>
              <w:t>Actual</w:t>
            </w:r>
          </w:p>
        </w:tc>
        <w:tc>
          <w:tcPr>
            <w:tcW w:w="1170" w:type="dxa"/>
          </w:tcPr>
          <w:p w14:paraId="6DD195AF" w14:textId="77777777" w:rsidR="0035631A" w:rsidRPr="00986C2B" w:rsidRDefault="0035631A" w:rsidP="00CD2CB3">
            <w:pPr>
              <w:tabs>
                <w:tab w:val="left" w:pos="285"/>
                <w:tab w:val="center" w:pos="598"/>
              </w:tabs>
              <w:suppressAutoHyphens/>
              <w:jc w:val="center"/>
              <w:rPr>
                <w:b/>
                <w:sz w:val="20"/>
              </w:rPr>
            </w:pPr>
            <w:r>
              <w:rPr>
                <w:b/>
                <w:sz w:val="20"/>
              </w:rPr>
              <w:t>2012</w:t>
            </w:r>
            <w:r w:rsidRPr="00986C2B">
              <w:rPr>
                <w:b/>
                <w:sz w:val="20"/>
              </w:rPr>
              <w:t xml:space="preserve"> </w:t>
            </w:r>
            <w:r w:rsidR="00CD2CB3">
              <w:rPr>
                <w:b/>
                <w:sz w:val="20"/>
              </w:rPr>
              <w:t>Actual</w:t>
            </w:r>
          </w:p>
        </w:tc>
        <w:tc>
          <w:tcPr>
            <w:tcW w:w="1170" w:type="dxa"/>
          </w:tcPr>
          <w:p w14:paraId="1C68553C" w14:textId="77777777" w:rsidR="0035631A" w:rsidRDefault="0035631A" w:rsidP="00C238B5">
            <w:pPr>
              <w:tabs>
                <w:tab w:val="left" w:pos="285"/>
                <w:tab w:val="center" w:pos="598"/>
              </w:tabs>
              <w:suppressAutoHyphens/>
              <w:jc w:val="center"/>
              <w:rPr>
                <w:b/>
                <w:sz w:val="20"/>
              </w:rPr>
            </w:pPr>
            <w:r>
              <w:rPr>
                <w:b/>
                <w:sz w:val="20"/>
              </w:rPr>
              <w:t>2013</w:t>
            </w:r>
            <w:r w:rsidRPr="00986C2B">
              <w:rPr>
                <w:b/>
                <w:sz w:val="20"/>
              </w:rPr>
              <w:t xml:space="preserve"> Estimated</w:t>
            </w:r>
          </w:p>
        </w:tc>
        <w:tc>
          <w:tcPr>
            <w:tcW w:w="1170" w:type="dxa"/>
          </w:tcPr>
          <w:p w14:paraId="699A9F9C" w14:textId="77777777" w:rsidR="0035631A" w:rsidRDefault="0035631A" w:rsidP="00C238B5">
            <w:pPr>
              <w:tabs>
                <w:tab w:val="left" w:pos="285"/>
                <w:tab w:val="center" w:pos="598"/>
              </w:tabs>
              <w:suppressAutoHyphens/>
              <w:jc w:val="center"/>
              <w:rPr>
                <w:b/>
                <w:sz w:val="20"/>
              </w:rPr>
            </w:pPr>
            <w:r>
              <w:rPr>
                <w:b/>
                <w:sz w:val="20"/>
              </w:rPr>
              <w:t>2014 Estimated</w:t>
            </w:r>
          </w:p>
        </w:tc>
      </w:tr>
      <w:tr w:rsidR="0035631A" w14:paraId="4DF98454" w14:textId="77777777" w:rsidTr="0035631A">
        <w:tblPrEx>
          <w:tblCellMar>
            <w:top w:w="0" w:type="dxa"/>
            <w:bottom w:w="0" w:type="dxa"/>
          </w:tblCellMar>
        </w:tblPrEx>
        <w:tc>
          <w:tcPr>
            <w:tcW w:w="1170" w:type="dxa"/>
            <w:vAlign w:val="bottom"/>
          </w:tcPr>
          <w:p w14:paraId="0B5EB460" w14:textId="77777777" w:rsidR="0035631A" w:rsidRDefault="0035631A" w:rsidP="0001434A">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rPr>
                <w:sz w:val="20"/>
              </w:rPr>
            </w:pPr>
            <w:r>
              <w:rPr>
                <w:sz w:val="20"/>
              </w:rPr>
              <w:t>Output</w:t>
            </w:r>
          </w:p>
        </w:tc>
        <w:tc>
          <w:tcPr>
            <w:tcW w:w="3240" w:type="dxa"/>
            <w:vAlign w:val="bottom"/>
          </w:tcPr>
          <w:p w14:paraId="4B3A8B22" w14:textId="77777777" w:rsidR="0035631A" w:rsidRDefault="0035631A" w:rsidP="0001434A">
            <w:pPr>
              <w:suppressAutoHyphens/>
              <w:rPr>
                <w:sz w:val="20"/>
                <w:vertAlign w:val="superscript"/>
              </w:rPr>
            </w:pPr>
            <w:r>
              <w:rPr>
                <w:sz w:val="20"/>
              </w:rPr>
              <w:t>2</w:t>
            </w:r>
            <w:r>
              <w:rPr>
                <w:sz w:val="20"/>
                <w:vertAlign w:val="superscript"/>
              </w:rPr>
              <w:t>nd</w:t>
            </w:r>
            <w:r>
              <w:rPr>
                <w:sz w:val="20"/>
              </w:rPr>
              <w:t xml:space="preserve"> year first-time, full-time retention rate: minority students</w:t>
            </w:r>
            <w:r>
              <w:rPr>
                <w:sz w:val="20"/>
                <w:vertAlign w:val="superscript"/>
              </w:rPr>
              <w:t>5</w:t>
            </w:r>
          </w:p>
        </w:tc>
        <w:tc>
          <w:tcPr>
            <w:tcW w:w="990" w:type="dxa"/>
            <w:vAlign w:val="bottom"/>
          </w:tcPr>
          <w:p w14:paraId="1FF88367" w14:textId="77777777" w:rsidR="0035631A" w:rsidRDefault="0035631A" w:rsidP="006441A6">
            <w:pPr>
              <w:suppressAutoHyphens/>
              <w:jc w:val="center"/>
              <w:rPr>
                <w:sz w:val="20"/>
              </w:rPr>
            </w:pPr>
            <w:r>
              <w:rPr>
                <w:sz w:val="20"/>
              </w:rPr>
              <w:t>80.5%</w:t>
            </w:r>
          </w:p>
        </w:tc>
        <w:tc>
          <w:tcPr>
            <w:tcW w:w="1260" w:type="dxa"/>
            <w:vAlign w:val="bottom"/>
          </w:tcPr>
          <w:p w14:paraId="1BD5B70D" w14:textId="77777777" w:rsidR="0035631A" w:rsidRPr="000B1917" w:rsidRDefault="0035631A" w:rsidP="00C238B5">
            <w:pPr>
              <w:tabs>
                <w:tab w:val="left" w:pos="285"/>
                <w:tab w:val="center" w:pos="598"/>
              </w:tabs>
              <w:suppressAutoHyphens/>
              <w:jc w:val="center"/>
              <w:rPr>
                <w:sz w:val="20"/>
              </w:rPr>
            </w:pPr>
            <w:r>
              <w:rPr>
                <w:sz w:val="20"/>
              </w:rPr>
              <w:t>81.6</w:t>
            </w:r>
            <w:r w:rsidRPr="000B1917">
              <w:rPr>
                <w:sz w:val="20"/>
              </w:rPr>
              <w:t>%</w:t>
            </w:r>
          </w:p>
        </w:tc>
        <w:tc>
          <w:tcPr>
            <w:tcW w:w="1260" w:type="dxa"/>
          </w:tcPr>
          <w:p w14:paraId="70DC1CC6" w14:textId="77777777" w:rsidR="0035631A" w:rsidRDefault="0035631A" w:rsidP="00C238B5">
            <w:pPr>
              <w:suppressAutoHyphens/>
              <w:jc w:val="center"/>
              <w:rPr>
                <w:sz w:val="20"/>
              </w:rPr>
            </w:pPr>
          </w:p>
          <w:p w14:paraId="4748DAD4" w14:textId="77777777" w:rsidR="0035631A" w:rsidRPr="000B1917" w:rsidRDefault="0035631A" w:rsidP="00C238B5">
            <w:pPr>
              <w:suppressAutoHyphens/>
              <w:jc w:val="center"/>
              <w:rPr>
                <w:sz w:val="20"/>
              </w:rPr>
            </w:pPr>
            <w:r>
              <w:rPr>
                <w:sz w:val="20"/>
              </w:rPr>
              <w:t>84.0</w:t>
            </w:r>
            <w:r w:rsidRPr="000B1917">
              <w:rPr>
                <w:sz w:val="20"/>
              </w:rPr>
              <w:t>%</w:t>
            </w:r>
          </w:p>
        </w:tc>
        <w:tc>
          <w:tcPr>
            <w:tcW w:w="1170" w:type="dxa"/>
            <w:vAlign w:val="bottom"/>
          </w:tcPr>
          <w:p w14:paraId="50FFDD71" w14:textId="77777777" w:rsidR="0035631A" w:rsidRDefault="00CD2CB3" w:rsidP="0001434A">
            <w:pPr>
              <w:suppressAutoHyphens/>
              <w:jc w:val="center"/>
              <w:rPr>
                <w:sz w:val="20"/>
              </w:rPr>
            </w:pPr>
            <w:r>
              <w:rPr>
                <w:sz w:val="20"/>
              </w:rPr>
              <w:t>86.4</w:t>
            </w:r>
            <w:r w:rsidR="0035631A" w:rsidRPr="00906BE8">
              <w:rPr>
                <w:sz w:val="20"/>
              </w:rPr>
              <w:t>%</w:t>
            </w:r>
          </w:p>
        </w:tc>
        <w:tc>
          <w:tcPr>
            <w:tcW w:w="1170" w:type="dxa"/>
          </w:tcPr>
          <w:p w14:paraId="02DF1D82" w14:textId="77777777" w:rsidR="0035631A" w:rsidRPr="00666E37" w:rsidRDefault="0035631A" w:rsidP="0001434A">
            <w:pPr>
              <w:suppressAutoHyphens/>
              <w:jc w:val="center"/>
              <w:rPr>
                <w:sz w:val="20"/>
              </w:rPr>
            </w:pPr>
          </w:p>
          <w:p w14:paraId="447BB574" w14:textId="77777777" w:rsidR="0035631A" w:rsidRPr="00666E37" w:rsidRDefault="00666E37" w:rsidP="0001434A">
            <w:pPr>
              <w:suppressAutoHyphens/>
              <w:jc w:val="center"/>
              <w:rPr>
                <w:sz w:val="20"/>
              </w:rPr>
            </w:pPr>
            <w:r w:rsidRPr="00666E37">
              <w:rPr>
                <w:sz w:val="20"/>
              </w:rPr>
              <w:t>86.5</w:t>
            </w:r>
            <w:r w:rsidR="0035631A" w:rsidRPr="00666E37">
              <w:rPr>
                <w:sz w:val="20"/>
              </w:rPr>
              <w:t>%</w:t>
            </w:r>
          </w:p>
        </w:tc>
        <w:tc>
          <w:tcPr>
            <w:tcW w:w="1170" w:type="dxa"/>
          </w:tcPr>
          <w:p w14:paraId="58ED09F2" w14:textId="77777777" w:rsidR="0035631A" w:rsidRPr="00666E37" w:rsidRDefault="0035631A" w:rsidP="0001434A">
            <w:pPr>
              <w:suppressAutoHyphens/>
              <w:jc w:val="center"/>
              <w:rPr>
                <w:sz w:val="20"/>
              </w:rPr>
            </w:pPr>
          </w:p>
          <w:p w14:paraId="18A35B7D" w14:textId="77777777" w:rsidR="00666E37" w:rsidRPr="00666E37" w:rsidRDefault="00666E37" w:rsidP="0001434A">
            <w:pPr>
              <w:suppressAutoHyphens/>
              <w:jc w:val="center"/>
              <w:rPr>
                <w:sz w:val="20"/>
              </w:rPr>
            </w:pPr>
            <w:r w:rsidRPr="00666E37">
              <w:rPr>
                <w:sz w:val="20"/>
              </w:rPr>
              <w:t>86.5</w:t>
            </w:r>
          </w:p>
        </w:tc>
      </w:tr>
    </w:tbl>
    <w:p w14:paraId="78567403" w14:textId="77777777" w:rsidR="00585C01" w:rsidRDefault="00585C01" w:rsidP="00585C01">
      <w:pPr>
        <w:tabs>
          <w:tab w:val="left" w:pos="1710"/>
        </w:tabs>
        <w:ind w:left="360"/>
        <w:rPr>
          <w:b/>
          <w:sz w:val="20"/>
        </w:rPr>
      </w:pPr>
    </w:p>
    <w:p w14:paraId="27AD8DB4" w14:textId="77777777" w:rsidR="00585C01" w:rsidRDefault="00585C01" w:rsidP="00585C01">
      <w:pPr>
        <w:widowControl/>
        <w:tabs>
          <w:tab w:val="left" w:pos="1710"/>
        </w:tabs>
        <w:ind w:left="360"/>
        <w:jc w:val="both"/>
        <w:rPr>
          <w:b/>
          <w:sz w:val="20"/>
        </w:rPr>
      </w:pPr>
    </w:p>
    <w:p w14:paraId="4821FA8C" w14:textId="77777777" w:rsidR="00585C01" w:rsidRDefault="00585C01" w:rsidP="00491BC4">
      <w:pPr>
        <w:tabs>
          <w:tab w:val="left" w:pos="1710"/>
          <w:tab w:val="right" w:pos="5940"/>
          <w:tab w:val="right" w:pos="7380"/>
          <w:tab w:val="right" w:pos="8730"/>
          <w:tab w:val="right" w:pos="9990"/>
          <w:tab w:val="right" w:pos="11430"/>
          <w:tab w:val="right" w:pos="12780"/>
        </w:tabs>
        <w:snapToGrid w:val="0"/>
        <w:ind w:left="1710" w:right="-54" w:hanging="1350"/>
        <w:rPr>
          <w:sz w:val="20"/>
        </w:rPr>
      </w:pPr>
      <w:r>
        <w:rPr>
          <w:b/>
          <w:sz w:val="20"/>
        </w:rPr>
        <w:t>Objective 4.4</w:t>
      </w:r>
      <w:r>
        <w:rPr>
          <w:b/>
          <w:sz w:val="20"/>
        </w:rPr>
        <w:tab/>
      </w:r>
      <w:r>
        <w:rPr>
          <w:sz w:val="20"/>
        </w:rPr>
        <w:t xml:space="preserve">The six-year graduation rates of SU first-time, full-time freshmen will </w:t>
      </w:r>
      <w:r w:rsidR="00FD2794">
        <w:rPr>
          <w:sz w:val="20"/>
        </w:rPr>
        <w:t xml:space="preserve">increase from 75% in 2009 to </w:t>
      </w:r>
      <w:r w:rsidR="00D67803">
        <w:rPr>
          <w:sz w:val="20"/>
        </w:rPr>
        <w:t>76.7</w:t>
      </w:r>
      <w:r>
        <w:rPr>
          <w:sz w:val="20"/>
        </w:rPr>
        <w:t>%</w:t>
      </w:r>
      <w:r w:rsidR="00FD2794">
        <w:rPr>
          <w:sz w:val="20"/>
        </w:rPr>
        <w:t xml:space="preserve"> in 2014</w:t>
      </w:r>
      <w:r>
        <w:rPr>
          <w:sz w:val="20"/>
        </w:rPr>
        <w:t>.</w:t>
      </w:r>
    </w:p>
    <w:p w14:paraId="5A95A3A0" w14:textId="77777777" w:rsidR="00491BC4" w:rsidRDefault="00491BC4" w:rsidP="00585C01">
      <w:pPr>
        <w:tabs>
          <w:tab w:val="right" w:pos="5940"/>
          <w:tab w:val="right" w:pos="7380"/>
          <w:tab w:val="right" w:pos="8730"/>
          <w:tab w:val="right" w:pos="9990"/>
          <w:tab w:val="right" w:pos="11430"/>
          <w:tab w:val="right" w:pos="12780"/>
        </w:tabs>
        <w:snapToGrid w:val="0"/>
        <w:ind w:left="360" w:right="-54"/>
        <w:rPr>
          <w:b/>
          <w:bCs/>
          <w:sz w:val="20"/>
        </w:rPr>
      </w:pPr>
    </w:p>
    <w:tbl>
      <w:tblPr>
        <w:tblW w:w="11430" w:type="dxa"/>
        <w:tblInd w:w="468" w:type="dxa"/>
        <w:tblLayout w:type="fixed"/>
        <w:tblLook w:val="0000" w:firstRow="0" w:lastRow="0" w:firstColumn="0" w:lastColumn="0" w:noHBand="0" w:noVBand="0"/>
      </w:tblPr>
      <w:tblGrid>
        <w:gridCol w:w="1170"/>
        <w:gridCol w:w="3240"/>
        <w:gridCol w:w="1170"/>
        <w:gridCol w:w="1170"/>
        <w:gridCol w:w="1170"/>
        <w:gridCol w:w="1170"/>
        <w:gridCol w:w="1170"/>
        <w:gridCol w:w="1170"/>
      </w:tblGrid>
      <w:tr w:rsidR="0035631A" w14:paraId="6529D549" w14:textId="77777777" w:rsidTr="0035631A">
        <w:tblPrEx>
          <w:tblCellMar>
            <w:top w:w="0" w:type="dxa"/>
            <w:bottom w:w="0" w:type="dxa"/>
          </w:tblCellMar>
        </w:tblPrEx>
        <w:tc>
          <w:tcPr>
            <w:tcW w:w="4410" w:type="dxa"/>
            <w:gridSpan w:val="2"/>
            <w:vAlign w:val="bottom"/>
          </w:tcPr>
          <w:p w14:paraId="39B31801" w14:textId="77777777" w:rsidR="0035631A" w:rsidRDefault="0035631A" w:rsidP="00E83818">
            <w:pPr>
              <w:suppressAutoHyphens/>
              <w:rPr>
                <w:sz w:val="20"/>
              </w:rPr>
            </w:pPr>
            <w:r>
              <w:rPr>
                <w:b/>
                <w:bCs/>
                <w:sz w:val="20"/>
              </w:rPr>
              <w:t>Performance Measures</w:t>
            </w:r>
          </w:p>
        </w:tc>
        <w:tc>
          <w:tcPr>
            <w:tcW w:w="1170" w:type="dxa"/>
            <w:vAlign w:val="bottom"/>
          </w:tcPr>
          <w:p w14:paraId="26ACA0E7" w14:textId="77777777" w:rsidR="0035631A" w:rsidRPr="003A2144" w:rsidRDefault="0035631A" w:rsidP="006441A6">
            <w:pPr>
              <w:tabs>
                <w:tab w:val="left" w:pos="285"/>
                <w:tab w:val="center" w:pos="598"/>
              </w:tabs>
              <w:suppressAutoHyphens/>
              <w:jc w:val="center"/>
              <w:rPr>
                <w:b/>
                <w:color w:val="0000FF"/>
                <w:sz w:val="20"/>
              </w:rPr>
            </w:pPr>
            <w:r>
              <w:rPr>
                <w:b/>
                <w:sz w:val="20"/>
              </w:rPr>
              <w:t>2009</w:t>
            </w:r>
            <w:r w:rsidRPr="003A2144">
              <w:rPr>
                <w:b/>
                <w:sz w:val="20"/>
              </w:rPr>
              <w:t xml:space="preserve"> Actual</w:t>
            </w:r>
          </w:p>
        </w:tc>
        <w:tc>
          <w:tcPr>
            <w:tcW w:w="1170" w:type="dxa"/>
            <w:vAlign w:val="bottom"/>
          </w:tcPr>
          <w:p w14:paraId="47A57CC8" w14:textId="77777777" w:rsidR="0035631A" w:rsidRPr="003A2144" w:rsidRDefault="0035631A" w:rsidP="00E83818">
            <w:pPr>
              <w:tabs>
                <w:tab w:val="left" w:pos="285"/>
                <w:tab w:val="center" w:pos="598"/>
              </w:tabs>
              <w:suppressAutoHyphens/>
              <w:jc w:val="center"/>
              <w:rPr>
                <w:b/>
                <w:color w:val="0000FF"/>
                <w:sz w:val="20"/>
              </w:rPr>
            </w:pPr>
            <w:r>
              <w:rPr>
                <w:b/>
                <w:sz w:val="20"/>
              </w:rPr>
              <w:t>2010</w:t>
            </w:r>
            <w:r w:rsidRPr="003A2144">
              <w:rPr>
                <w:b/>
                <w:sz w:val="20"/>
              </w:rPr>
              <w:t xml:space="preserve"> Actual</w:t>
            </w:r>
          </w:p>
        </w:tc>
        <w:tc>
          <w:tcPr>
            <w:tcW w:w="1170" w:type="dxa"/>
          </w:tcPr>
          <w:p w14:paraId="32B0EDB5" w14:textId="77777777" w:rsidR="0035631A" w:rsidRPr="00986C2B" w:rsidRDefault="0035631A" w:rsidP="00C238B5">
            <w:pPr>
              <w:tabs>
                <w:tab w:val="left" w:pos="285"/>
                <w:tab w:val="center" w:pos="598"/>
              </w:tabs>
              <w:suppressAutoHyphens/>
              <w:jc w:val="center"/>
              <w:rPr>
                <w:b/>
                <w:sz w:val="20"/>
              </w:rPr>
            </w:pPr>
            <w:r>
              <w:rPr>
                <w:b/>
                <w:sz w:val="20"/>
              </w:rPr>
              <w:t>2011</w:t>
            </w:r>
            <w:r w:rsidRPr="00986C2B">
              <w:rPr>
                <w:b/>
                <w:sz w:val="20"/>
              </w:rPr>
              <w:t xml:space="preserve"> </w:t>
            </w:r>
            <w:r>
              <w:rPr>
                <w:b/>
                <w:sz w:val="20"/>
              </w:rPr>
              <w:t>Actual</w:t>
            </w:r>
          </w:p>
        </w:tc>
        <w:tc>
          <w:tcPr>
            <w:tcW w:w="1170" w:type="dxa"/>
          </w:tcPr>
          <w:p w14:paraId="489C058E" w14:textId="77777777" w:rsidR="0035631A" w:rsidRPr="00986C2B" w:rsidRDefault="0035631A" w:rsidP="007412AE">
            <w:pPr>
              <w:tabs>
                <w:tab w:val="left" w:pos="285"/>
                <w:tab w:val="center" w:pos="598"/>
              </w:tabs>
              <w:suppressAutoHyphens/>
              <w:jc w:val="center"/>
              <w:rPr>
                <w:b/>
                <w:sz w:val="20"/>
              </w:rPr>
            </w:pPr>
            <w:r>
              <w:rPr>
                <w:b/>
                <w:sz w:val="20"/>
              </w:rPr>
              <w:t>2012</w:t>
            </w:r>
            <w:r w:rsidRPr="00986C2B">
              <w:rPr>
                <w:b/>
                <w:sz w:val="20"/>
              </w:rPr>
              <w:t xml:space="preserve"> </w:t>
            </w:r>
            <w:r w:rsidR="007412AE">
              <w:rPr>
                <w:b/>
                <w:sz w:val="20"/>
              </w:rPr>
              <w:t>Actual</w:t>
            </w:r>
          </w:p>
        </w:tc>
        <w:tc>
          <w:tcPr>
            <w:tcW w:w="1170" w:type="dxa"/>
          </w:tcPr>
          <w:p w14:paraId="248DF965" w14:textId="77777777" w:rsidR="0035631A" w:rsidRDefault="0035631A" w:rsidP="00C238B5">
            <w:pPr>
              <w:tabs>
                <w:tab w:val="left" w:pos="285"/>
                <w:tab w:val="center" w:pos="598"/>
              </w:tabs>
              <w:suppressAutoHyphens/>
              <w:jc w:val="center"/>
              <w:rPr>
                <w:b/>
                <w:sz w:val="20"/>
              </w:rPr>
            </w:pPr>
            <w:r>
              <w:rPr>
                <w:b/>
                <w:sz w:val="20"/>
              </w:rPr>
              <w:t>2013</w:t>
            </w:r>
            <w:r w:rsidRPr="00986C2B">
              <w:rPr>
                <w:b/>
                <w:sz w:val="20"/>
              </w:rPr>
              <w:t xml:space="preserve"> Estimated</w:t>
            </w:r>
          </w:p>
        </w:tc>
        <w:tc>
          <w:tcPr>
            <w:tcW w:w="1170" w:type="dxa"/>
          </w:tcPr>
          <w:p w14:paraId="75A5653D" w14:textId="77777777" w:rsidR="0035631A" w:rsidRDefault="0035631A" w:rsidP="00C238B5">
            <w:pPr>
              <w:tabs>
                <w:tab w:val="left" w:pos="285"/>
                <w:tab w:val="center" w:pos="598"/>
              </w:tabs>
              <w:suppressAutoHyphens/>
              <w:jc w:val="center"/>
              <w:rPr>
                <w:b/>
                <w:sz w:val="20"/>
              </w:rPr>
            </w:pPr>
            <w:r>
              <w:rPr>
                <w:b/>
                <w:sz w:val="20"/>
              </w:rPr>
              <w:t>2014 Estimated</w:t>
            </w:r>
          </w:p>
        </w:tc>
      </w:tr>
      <w:tr w:rsidR="0035631A" w14:paraId="258C46A3" w14:textId="77777777" w:rsidTr="0035631A">
        <w:tblPrEx>
          <w:tblCellMar>
            <w:top w:w="0" w:type="dxa"/>
            <w:bottom w:w="0" w:type="dxa"/>
          </w:tblCellMar>
        </w:tblPrEx>
        <w:tc>
          <w:tcPr>
            <w:tcW w:w="1170" w:type="dxa"/>
            <w:vAlign w:val="bottom"/>
          </w:tcPr>
          <w:p w14:paraId="10E842BD" w14:textId="77777777" w:rsidR="0035631A" w:rsidRPr="005D4D69" w:rsidRDefault="0035631A" w:rsidP="0001434A">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rPr>
                <w:sz w:val="20"/>
              </w:rPr>
            </w:pPr>
            <w:r w:rsidRPr="005D4D69">
              <w:rPr>
                <w:sz w:val="20"/>
              </w:rPr>
              <w:t>Output</w:t>
            </w:r>
          </w:p>
        </w:tc>
        <w:tc>
          <w:tcPr>
            <w:tcW w:w="3240" w:type="dxa"/>
            <w:vAlign w:val="bottom"/>
          </w:tcPr>
          <w:p w14:paraId="395511BF" w14:textId="77777777" w:rsidR="0035631A" w:rsidRPr="005D4D69" w:rsidRDefault="0035631A" w:rsidP="0001434A">
            <w:pPr>
              <w:suppressAutoHyphens/>
              <w:rPr>
                <w:sz w:val="20"/>
                <w:vertAlign w:val="superscript"/>
              </w:rPr>
            </w:pPr>
            <w:r w:rsidRPr="005D4D69">
              <w:rPr>
                <w:sz w:val="20"/>
              </w:rPr>
              <w:t>6-year graduation rate of first-time, full-time freshmen:</w:t>
            </w:r>
            <w:r>
              <w:rPr>
                <w:sz w:val="20"/>
              </w:rPr>
              <w:t xml:space="preserve"> </w:t>
            </w:r>
            <w:r w:rsidRPr="005D4D69">
              <w:rPr>
                <w:sz w:val="20"/>
              </w:rPr>
              <w:t>all students</w:t>
            </w:r>
            <w:r w:rsidRPr="005D4D69">
              <w:rPr>
                <w:sz w:val="20"/>
                <w:vertAlign w:val="superscript"/>
              </w:rPr>
              <w:t>5</w:t>
            </w:r>
          </w:p>
        </w:tc>
        <w:tc>
          <w:tcPr>
            <w:tcW w:w="1170" w:type="dxa"/>
            <w:vAlign w:val="bottom"/>
          </w:tcPr>
          <w:p w14:paraId="0F969200" w14:textId="77777777" w:rsidR="0035631A" w:rsidRPr="005D4D69" w:rsidRDefault="0035631A" w:rsidP="006441A6">
            <w:pPr>
              <w:suppressAutoHyphens/>
              <w:jc w:val="center"/>
              <w:rPr>
                <w:sz w:val="20"/>
              </w:rPr>
            </w:pPr>
            <w:r w:rsidRPr="005D4D69">
              <w:rPr>
                <w:sz w:val="20"/>
              </w:rPr>
              <w:t>74.9%</w:t>
            </w:r>
          </w:p>
        </w:tc>
        <w:tc>
          <w:tcPr>
            <w:tcW w:w="1170" w:type="dxa"/>
            <w:vAlign w:val="bottom"/>
          </w:tcPr>
          <w:p w14:paraId="1E6BB3AA" w14:textId="77777777" w:rsidR="0035631A" w:rsidRPr="005D4D69" w:rsidRDefault="0035631A" w:rsidP="00C238B5">
            <w:pPr>
              <w:tabs>
                <w:tab w:val="left" w:pos="285"/>
                <w:tab w:val="center" w:pos="598"/>
              </w:tabs>
              <w:suppressAutoHyphens/>
              <w:jc w:val="center"/>
              <w:rPr>
                <w:sz w:val="20"/>
              </w:rPr>
            </w:pPr>
            <w:r w:rsidRPr="005D4D69">
              <w:rPr>
                <w:sz w:val="20"/>
              </w:rPr>
              <w:t>72.4%</w:t>
            </w:r>
          </w:p>
        </w:tc>
        <w:tc>
          <w:tcPr>
            <w:tcW w:w="1170" w:type="dxa"/>
          </w:tcPr>
          <w:p w14:paraId="24D833F0" w14:textId="77777777" w:rsidR="0035631A" w:rsidRPr="005D4D69" w:rsidRDefault="0035631A" w:rsidP="00C238B5">
            <w:pPr>
              <w:suppressAutoHyphens/>
              <w:jc w:val="center"/>
              <w:rPr>
                <w:sz w:val="20"/>
              </w:rPr>
            </w:pPr>
          </w:p>
          <w:p w14:paraId="154D33FD" w14:textId="77777777" w:rsidR="0035631A" w:rsidRPr="005D4D69" w:rsidRDefault="0035631A" w:rsidP="00C238B5">
            <w:pPr>
              <w:suppressAutoHyphens/>
              <w:jc w:val="center"/>
              <w:rPr>
                <w:sz w:val="20"/>
              </w:rPr>
            </w:pPr>
            <w:r w:rsidRPr="005D4D69">
              <w:rPr>
                <w:sz w:val="20"/>
              </w:rPr>
              <w:t>76.7%</w:t>
            </w:r>
          </w:p>
        </w:tc>
        <w:tc>
          <w:tcPr>
            <w:tcW w:w="1170" w:type="dxa"/>
            <w:vAlign w:val="bottom"/>
          </w:tcPr>
          <w:p w14:paraId="4DD0346C" w14:textId="77777777" w:rsidR="0035631A" w:rsidRPr="005D4D69" w:rsidRDefault="007412AE" w:rsidP="005D4D69">
            <w:pPr>
              <w:suppressAutoHyphens/>
              <w:jc w:val="center"/>
              <w:rPr>
                <w:sz w:val="20"/>
              </w:rPr>
            </w:pPr>
            <w:r>
              <w:rPr>
                <w:sz w:val="20"/>
              </w:rPr>
              <w:t>71.6</w:t>
            </w:r>
            <w:r w:rsidR="0035631A" w:rsidRPr="005D4D69">
              <w:rPr>
                <w:sz w:val="20"/>
              </w:rPr>
              <w:t>%</w:t>
            </w:r>
          </w:p>
        </w:tc>
        <w:tc>
          <w:tcPr>
            <w:tcW w:w="1170" w:type="dxa"/>
          </w:tcPr>
          <w:p w14:paraId="4777DFF6" w14:textId="77777777" w:rsidR="0035631A" w:rsidRPr="00BB224E" w:rsidRDefault="0035631A" w:rsidP="0001434A">
            <w:pPr>
              <w:suppressAutoHyphens/>
              <w:jc w:val="center"/>
              <w:rPr>
                <w:sz w:val="20"/>
              </w:rPr>
            </w:pPr>
          </w:p>
          <w:p w14:paraId="5CD7BA34" w14:textId="77777777" w:rsidR="0035631A" w:rsidRPr="00BB224E" w:rsidRDefault="0035631A" w:rsidP="00666E37">
            <w:pPr>
              <w:suppressAutoHyphens/>
              <w:jc w:val="center"/>
              <w:rPr>
                <w:sz w:val="20"/>
              </w:rPr>
            </w:pPr>
            <w:r w:rsidRPr="00BB224E">
              <w:rPr>
                <w:sz w:val="20"/>
              </w:rPr>
              <w:t>7</w:t>
            </w:r>
            <w:r w:rsidR="00666E37" w:rsidRPr="00BB224E">
              <w:rPr>
                <w:sz w:val="20"/>
              </w:rPr>
              <w:t>4.5</w:t>
            </w:r>
            <w:r w:rsidRPr="00BB224E">
              <w:rPr>
                <w:sz w:val="20"/>
              </w:rPr>
              <w:t>%</w:t>
            </w:r>
          </w:p>
        </w:tc>
        <w:tc>
          <w:tcPr>
            <w:tcW w:w="1170" w:type="dxa"/>
          </w:tcPr>
          <w:p w14:paraId="5B0F54ED" w14:textId="77777777" w:rsidR="0035631A" w:rsidRPr="00BB224E" w:rsidRDefault="0035631A" w:rsidP="0001434A">
            <w:pPr>
              <w:suppressAutoHyphens/>
              <w:jc w:val="center"/>
              <w:rPr>
                <w:sz w:val="20"/>
              </w:rPr>
            </w:pPr>
          </w:p>
          <w:p w14:paraId="7639E17C" w14:textId="77777777" w:rsidR="00666E37" w:rsidRPr="00BB224E" w:rsidRDefault="00666E37" w:rsidP="0001434A">
            <w:pPr>
              <w:suppressAutoHyphens/>
              <w:jc w:val="center"/>
              <w:rPr>
                <w:sz w:val="20"/>
              </w:rPr>
            </w:pPr>
            <w:r w:rsidRPr="00BB224E">
              <w:rPr>
                <w:sz w:val="20"/>
              </w:rPr>
              <w:t>76.7</w:t>
            </w:r>
          </w:p>
        </w:tc>
      </w:tr>
    </w:tbl>
    <w:p w14:paraId="117EA6F8" w14:textId="77777777" w:rsidR="00585C01" w:rsidRDefault="00585C01" w:rsidP="00585C01">
      <w:pPr>
        <w:widowControl/>
        <w:tabs>
          <w:tab w:val="left" w:pos="1800"/>
          <w:tab w:val="right" w:pos="5850"/>
          <w:tab w:val="right" w:pos="7290"/>
          <w:tab w:val="right" w:pos="8640"/>
          <w:tab w:val="right" w:pos="9900"/>
        </w:tabs>
        <w:ind w:left="1800" w:right="5040" w:hanging="900"/>
        <w:rPr>
          <w:b/>
          <w:sz w:val="20"/>
        </w:rPr>
      </w:pPr>
    </w:p>
    <w:p w14:paraId="42D84412" w14:textId="77777777" w:rsidR="00585C01" w:rsidRDefault="00585C01" w:rsidP="00585C01">
      <w:pPr>
        <w:widowControl/>
        <w:tabs>
          <w:tab w:val="left" w:pos="1710"/>
        </w:tabs>
        <w:ind w:left="360"/>
        <w:jc w:val="both"/>
        <w:rPr>
          <w:b/>
          <w:sz w:val="20"/>
        </w:rPr>
      </w:pPr>
    </w:p>
    <w:p w14:paraId="7DB8476B" w14:textId="77777777" w:rsidR="00585C01" w:rsidRDefault="00585C01" w:rsidP="00491BC4">
      <w:pPr>
        <w:widowControl/>
        <w:tabs>
          <w:tab w:val="left" w:pos="1710"/>
        </w:tabs>
        <w:ind w:left="1710" w:hanging="1350"/>
        <w:jc w:val="both"/>
        <w:rPr>
          <w:sz w:val="20"/>
        </w:rPr>
      </w:pPr>
      <w:r>
        <w:rPr>
          <w:b/>
          <w:sz w:val="20"/>
        </w:rPr>
        <w:t>Objective 4.5</w:t>
      </w:r>
      <w:r>
        <w:rPr>
          <w:sz w:val="20"/>
        </w:rPr>
        <w:tab/>
        <w:t xml:space="preserve">The six-year graduation rates of SU first-time, full-time African-American freshmen will increase from </w:t>
      </w:r>
      <w:r w:rsidR="00D67803">
        <w:rPr>
          <w:sz w:val="20"/>
        </w:rPr>
        <w:t>64% in 2009 to 66</w:t>
      </w:r>
      <w:r w:rsidR="00FD2794">
        <w:rPr>
          <w:sz w:val="20"/>
        </w:rPr>
        <w:t>% in 2014</w:t>
      </w:r>
      <w:r>
        <w:rPr>
          <w:sz w:val="20"/>
        </w:rPr>
        <w:t>.</w:t>
      </w:r>
    </w:p>
    <w:p w14:paraId="2198CEC1" w14:textId="77777777" w:rsidR="00585C01" w:rsidRDefault="00585C01" w:rsidP="00585C01">
      <w:pPr>
        <w:tabs>
          <w:tab w:val="right" w:pos="5940"/>
          <w:tab w:val="right" w:pos="7380"/>
          <w:tab w:val="right" w:pos="8730"/>
          <w:tab w:val="right" w:pos="9990"/>
          <w:tab w:val="right" w:pos="11430"/>
          <w:tab w:val="right" w:pos="12780"/>
        </w:tabs>
        <w:snapToGrid w:val="0"/>
        <w:ind w:left="360" w:right="-54"/>
        <w:rPr>
          <w:b/>
          <w:bCs/>
          <w:sz w:val="20"/>
        </w:rPr>
      </w:pPr>
    </w:p>
    <w:tbl>
      <w:tblPr>
        <w:tblW w:w="11430" w:type="dxa"/>
        <w:tblInd w:w="468" w:type="dxa"/>
        <w:tblLayout w:type="fixed"/>
        <w:tblLook w:val="0000" w:firstRow="0" w:lastRow="0" w:firstColumn="0" w:lastColumn="0" w:noHBand="0" w:noVBand="0"/>
      </w:tblPr>
      <w:tblGrid>
        <w:gridCol w:w="1170"/>
        <w:gridCol w:w="3240"/>
        <w:gridCol w:w="1170"/>
        <w:gridCol w:w="1170"/>
        <w:gridCol w:w="1170"/>
        <w:gridCol w:w="1170"/>
        <w:gridCol w:w="1170"/>
        <w:gridCol w:w="1170"/>
      </w:tblGrid>
      <w:tr w:rsidR="0035631A" w14:paraId="58BBF68A" w14:textId="77777777" w:rsidTr="0035631A">
        <w:tblPrEx>
          <w:tblCellMar>
            <w:top w:w="0" w:type="dxa"/>
            <w:bottom w:w="0" w:type="dxa"/>
          </w:tblCellMar>
        </w:tblPrEx>
        <w:tc>
          <w:tcPr>
            <w:tcW w:w="4410" w:type="dxa"/>
            <w:gridSpan w:val="2"/>
            <w:vAlign w:val="bottom"/>
          </w:tcPr>
          <w:p w14:paraId="7E4097C1" w14:textId="77777777" w:rsidR="0035631A" w:rsidRDefault="0035631A" w:rsidP="00E83818">
            <w:pPr>
              <w:suppressAutoHyphens/>
              <w:rPr>
                <w:sz w:val="20"/>
              </w:rPr>
            </w:pPr>
            <w:r>
              <w:rPr>
                <w:b/>
                <w:bCs/>
                <w:sz w:val="20"/>
              </w:rPr>
              <w:t>Performance Measures</w:t>
            </w:r>
          </w:p>
        </w:tc>
        <w:tc>
          <w:tcPr>
            <w:tcW w:w="1170" w:type="dxa"/>
            <w:vAlign w:val="bottom"/>
          </w:tcPr>
          <w:p w14:paraId="0F0AB88F" w14:textId="77777777" w:rsidR="0035631A" w:rsidRPr="003A2144" w:rsidRDefault="0035631A" w:rsidP="006441A6">
            <w:pPr>
              <w:tabs>
                <w:tab w:val="left" w:pos="285"/>
                <w:tab w:val="center" w:pos="598"/>
              </w:tabs>
              <w:suppressAutoHyphens/>
              <w:jc w:val="center"/>
              <w:rPr>
                <w:b/>
                <w:color w:val="0000FF"/>
                <w:sz w:val="20"/>
              </w:rPr>
            </w:pPr>
            <w:r>
              <w:rPr>
                <w:b/>
                <w:sz w:val="20"/>
              </w:rPr>
              <w:t>2009</w:t>
            </w:r>
            <w:r w:rsidRPr="003A2144">
              <w:rPr>
                <w:b/>
                <w:sz w:val="20"/>
              </w:rPr>
              <w:t xml:space="preserve"> Actual</w:t>
            </w:r>
          </w:p>
        </w:tc>
        <w:tc>
          <w:tcPr>
            <w:tcW w:w="1170" w:type="dxa"/>
            <w:vAlign w:val="bottom"/>
          </w:tcPr>
          <w:p w14:paraId="2956F9BA" w14:textId="77777777" w:rsidR="0035631A" w:rsidRPr="003A2144" w:rsidRDefault="0035631A" w:rsidP="00E83818">
            <w:pPr>
              <w:tabs>
                <w:tab w:val="left" w:pos="285"/>
                <w:tab w:val="center" w:pos="598"/>
              </w:tabs>
              <w:suppressAutoHyphens/>
              <w:jc w:val="center"/>
              <w:rPr>
                <w:b/>
                <w:color w:val="0000FF"/>
                <w:sz w:val="20"/>
              </w:rPr>
            </w:pPr>
            <w:r>
              <w:rPr>
                <w:b/>
                <w:sz w:val="20"/>
              </w:rPr>
              <w:t>2010</w:t>
            </w:r>
            <w:r w:rsidRPr="003A2144">
              <w:rPr>
                <w:b/>
                <w:sz w:val="20"/>
              </w:rPr>
              <w:t xml:space="preserve"> Actual</w:t>
            </w:r>
          </w:p>
        </w:tc>
        <w:tc>
          <w:tcPr>
            <w:tcW w:w="1170" w:type="dxa"/>
          </w:tcPr>
          <w:p w14:paraId="08B71BC2" w14:textId="77777777" w:rsidR="0035631A" w:rsidRPr="00986C2B" w:rsidRDefault="0035631A" w:rsidP="00405A71">
            <w:pPr>
              <w:tabs>
                <w:tab w:val="left" w:pos="285"/>
                <w:tab w:val="center" w:pos="598"/>
              </w:tabs>
              <w:suppressAutoHyphens/>
              <w:jc w:val="center"/>
              <w:rPr>
                <w:b/>
                <w:sz w:val="20"/>
              </w:rPr>
            </w:pPr>
            <w:r>
              <w:rPr>
                <w:b/>
                <w:sz w:val="20"/>
              </w:rPr>
              <w:t>2011</w:t>
            </w:r>
            <w:r w:rsidRPr="00986C2B">
              <w:rPr>
                <w:b/>
                <w:sz w:val="20"/>
              </w:rPr>
              <w:t xml:space="preserve"> </w:t>
            </w:r>
            <w:r>
              <w:rPr>
                <w:b/>
                <w:sz w:val="20"/>
              </w:rPr>
              <w:t>Actual</w:t>
            </w:r>
          </w:p>
        </w:tc>
        <w:tc>
          <w:tcPr>
            <w:tcW w:w="1170" w:type="dxa"/>
          </w:tcPr>
          <w:p w14:paraId="73B08404" w14:textId="77777777" w:rsidR="0035631A" w:rsidRPr="00986C2B" w:rsidRDefault="0035631A" w:rsidP="00DD3A53">
            <w:pPr>
              <w:tabs>
                <w:tab w:val="left" w:pos="285"/>
                <w:tab w:val="center" w:pos="598"/>
              </w:tabs>
              <w:suppressAutoHyphens/>
              <w:jc w:val="center"/>
              <w:rPr>
                <w:b/>
                <w:sz w:val="20"/>
              </w:rPr>
            </w:pPr>
            <w:r>
              <w:rPr>
                <w:b/>
                <w:sz w:val="20"/>
              </w:rPr>
              <w:t>2012</w:t>
            </w:r>
            <w:r w:rsidRPr="00986C2B">
              <w:rPr>
                <w:b/>
                <w:sz w:val="20"/>
              </w:rPr>
              <w:t xml:space="preserve"> </w:t>
            </w:r>
            <w:r w:rsidR="00DD3A53">
              <w:rPr>
                <w:b/>
                <w:sz w:val="20"/>
              </w:rPr>
              <w:t>Actual</w:t>
            </w:r>
          </w:p>
        </w:tc>
        <w:tc>
          <w:tcPr>
            <w:tcW w:w="1170" w:type="dxa"/>
          </w:tcPr>
          <w:p w14:paraId="55C5838A" w14:textId="77777777" w:rsidR="0035631A" w:rsidRDefault="0035631A" w:rsidP="00C238B5">
            <w:pPr>
              <w:tabs>
                <w:tab w:val="left" w:pos="285"/>
                <w:tab w:val="center" w:pos="598"/>
              </w:tabs>
              <w:suppressAutoHyphens/>
              <w:jc w:val="center"/>
              <w:rPr>
                <w:b/>
                <w:sz w:val="20"/>
              </w:rPr>
            </w:pPr>
            <w:r>
              <w:rPr>
                <w:b/>
                <w:sz w:val="20"/>
              </w:rPr>
              <w:t>2013</w:t>
            </w:r>
            <w:r w:rsidRPr="00986C2B">
              <w:rPr>
                <w:b/>
                <w:sz w:val="20"/>
              </w:rPr>
              <w:t xml:space="preserve"> Estimated</w:t>
            </w:r>
          </w:p>
        </w:tc>
        <w:tc>
          <w:tcPr>
            <w:tcW w:w="1170" w:type="dxa"/>
          </w:tcPr>
          <w:p w14:paraId="1554292A" w14:textId="77777777" w:rsidR="0035631A" w:rsidRDefault="0035631A" w:rsidP="00C238B5">
            <w:pPr>
              <w:tabs>
                <w:tab w:val="left" w:pos="285"/>
                <w:tab w:val="center" w:pos="598"/>
              </w:tabs>
              <w:suppressAutoHyphens/>
              <w:jc w:val="center"/>
              <w:rPr>
                <w:b/>
                <w:sz w:val="20"/>
              </w:rPr>
            </w:pPr>
            <w:r>
              <w:rPr>
                <w:b/>
                <w:sz w:val="20"/>
              </w:rPr>
              <w:t>2014 Estimated</w:t>
            </w:r>
          </w:p>
        </w:tc>
      </w:tr>
      <w:tr w:rsidR="0035631A" w14:paraId="31CEB463" w14:textId="77777777" w:rsidTr="0035631A">
        <w:tblPrEx>
          <w:tblCellMar>
            <w:top w:w="0" w:type="dxa"/>
            <w:bottom w:w="0" w:type="dxa"/>
          </w:tblCellMar>
        </w:tblPrEx>
        <w:tc>
          <w:tcPr>
            <w:tcW w:w="1170" w:type="dxa"/>
            <w:vAlign w:val="bottom"/>
          </w:tcPr>
          <w:p w14:paraId="3DEDF482" w14:textId="77777777" w:rsidR="0035631A" w:rsidRDefault="0035631A" w:rsidP="0001434A">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rPr>
                <w:sz w:val="20"/>
              </w:rPr>
            </w:pPr>
            <w:r>
              <w:rPr>
                <w:sz w:val="20"/>
              </w:rPr>
              <w:t>Output</w:t>
            </w:r>
          </w:p>
        </w:tc>
        <w:tc>
          <w:tcPr>
            <w:tcW w:w="3240" w:type="dxa"/>
            <w:vAlign w:val="bottom"/>
          </w:tcPr>
          <w:p w14:paraId="6CC9FA0A" w14:textId="77777777" w:rsidR="0035631A" w:rsidRDefault="0035631A" w:rsidP="0001434A">
            <w:pPr>
              <w:suppressAutoHyphens/>
              <w:rPr>
                <w:sz w:val="20"/>
                <w:vertAlign w:val="superscript"/>
              </w:rPr>
            </w:pPr>
            <w:r>
              <w:rPr>
                <w:sz w:val="20"/>
              </w:rPr>
              <w:t>6-year graduation rate of first-time, full-time freshmen: African-American students</w:t>
            </w:r>
            <w:r>
              <w:rPr>
                <w:sz w:val="20"/>
                <w:vertAlign w:val="superscript"/>
              </w:rPr>
              <w:t>5</w:t>
            </w:r>
          </w:p>
        </w:tc>
        <w:tc>
          <w:tcPr>
            <w:tcW w:w="1170" w:type="dxa"/>
            <w:vAlign w:val="bottom"/>
          </w:tcPr>
          <w:p w14:paraId="1B8A312B" w14:textId="77777777" w:rsidR="0035631A" w:rsidRDefault="0035631A" w:rsidP="006441A6">
            <w:pPr>
              <w:suppressAutoHyphens/>
              <w:jc w:val="center"/>
              <w:rPr>
                <w:sz w:val="20"/>
              </w:rPr>
            </w:pPr>
            <w:r>
              <w:rPr>
                <w:sz w:val="20"/>
              </w:rPr>
              <w:t>64.3%</w:t>
            </w:r>
          </w:p>
        </w:tc>
        <w:tc>
          <w:tcPr>
            <w:tcW w:w="1170" w:type="dxa"/>
            <w:vAlign w:val="bottom"/>
          </w:tcPr>
          <w:p w14:paraId="1F8D08E1" w14:textId="77777777" w:rsidR="0035631A" w:rsidRPr="000B1917" w:rsidRDefault="0035631A" w:rsidP="00C238B5">
            <w:pPr>
              <w:tabs>
                <w:tab w:val="left" w:pos="285"/>
                <w:tab w:val="center" w:pos="598"/>
              </w:tabs>
              <w:suppressAutoHyphens/>
              <w:jc w:val="center"/>
              <w:rPr>
                <w:sz w:val="20"/>
              </w:rPr>
            </w:pPr>
            <w:r w:rsidRPr="006A16E6">
              <w:rPr>
                <w:sz w:val="20"/>
              </w:rPr>
              <w:t>64.6</w:t>
            </w:r>
            <w:r w:rsidRPr="000B1917">
              <w:rPr>
                <w:sz w:val="20"/>
              </w:rPr>
              <w:t>%</w:t>
            </w:r>
          </w:p>
        </w:tc>
        <w:tc>
          <w:tcPr>
            <w:tcW w:w="1170" w:type="dxa"/>
          </w:tcPr>
          <w:p w14:paraId="009A5371" w14:textId="77777777" w:rsidR="0035631A" w:rsidRPr="005D4D69" w:rsidRDefault="0035631A" w:rsidP="00C238B5">
            <w:pPr>
              <w:suppressAutoHyphens/>
              <w:jc w:val="center"/>
              <w:rPr>
                <w:sz w:val="20"/>
              </w:rPr>
            </w:pPr>
          </w:p>
          <w:p w14:paraId="3B7FD644" w14:textId="77777777" w:rsidR="0035631A" w:rsidRPr="005D4D69" w:rsidRDefault="0035631A" w:rsidP="00C238B5">
            <w:pPr>
              <w:suppressAutoHyphens/>
              <w:jc w:val="center"/>
              <w:rPr>
                <w:sz w:val="20"/>
              </w:rPr>
            </w:pPr>
          </w:p>
          <w:p w14:paraId="324BBBBB" w14:textId="77777777" w:rsidR="0035631A" w:rsidRPr="005D4D69" w:rsidRDefault="0035631A" w:rsidP="00C238B5">
            <w:pPr>
              <w:suppressAutoHyphens/>
              <w:jc w:val="center"/>
              <w:rPr>
                <w:sz w:val="20"/>
              </w:rPr>
            </w:pPr>
            <w:r w:rsidRPr="005D4D69">
              <w:rPr>
                <w:sz w:val="20"/>
              </w:rPr>
              <w:t>60.0%</w:t>
            </w:r>
          </w:p>
        </w:tc>
        <w:tc>
          <w:tcPr>
            <w:tcW w:w="1170" w:type="dxa"/>
            <w:vAlign w:val="bottom"/>
          </w:tcPr>
          <w:p w14:paraId="1E6DCFC0" w14:textId="77777777" w:rsidR="0035631A" w:rsidRPr="00DD3A53" w:rsidRDefault="00DD3A53" w:rsidP="005D4D69">
            <w:pPr>
              <w:suppressAutoHyphens/>
              <w:jc w:val="center"/>
              <w:rPr>
                <w:sz w:val="20"/>
              </w:rPr>
            </w:pPr>
            <w:r w:rsidRPr="00DD3A53">
              <w:rPr>
                <w:sz w:val="20"/>
              </w:rPr>
              <w:t>62.8</w:t>
            </w:r>
            <w:r w:rsidR="0035631A" w:rsidRPr="00DD3A53">
              <w:rPr>
                <w:sz w:val="20"/>
              </w:rPr>
              <w:t>%</w:t>
            </w:r>
          </w:p>
        </w:tc>
        <w:tc>
          <w:tcPr>
            <w:tcW w:w="1170" w:type="dxa"/>
          </w:tcPr>
          <w:p w14:paraId="75C7B1EB" w14:textId="77777777" w:rsidR="0035631A" w:rsidRPr="00BB224E" w:rsidRDefault="0035631A" w:rsidP="0001434A">
            <w:pPr>
              <w:suppressAutoHyphens/>
              <w:jc w:val="center"/>
              <w:rPr>
                <w:sz w:val="20"/>
              </w:rPr>
            </w:pPr>
          </w:p>
          <w:p w14:paraId="090174EB" w14:textId="77777777" w:rsidR="0035631A" w:rsidRPr="00BB224E" w:rsidRDefault="0035631A" w:rsidP="0001434A">
            <w:pPr>
              <w:suppressAutoHyphens/>
              <w:jc w:val="center"/>
              <w:rPr>
                <w:sz w:val="20"/>
              </w:rPr>
            </w:pPr>
          </w:p>
          <w:p w14:paraId="17EF0842" w14:textId="77777777" w:rsidR="0035631A" w:rsidRPr="00BB224E" w:rsidRDefault="00BB224E" w:rsidP="0001434A">
            <w:pPr>
              <w:suppressAutoHyphens/>
              <w:jc w:val="center"/>
              <w:rPr>
                <w:sz w:val="20"/>
              </w:rPr>
            </w:pPr>
            <w:r w:rsidRPr="00BB224E">
              <w:rPr>
                <w:sz w:val="20"/>
              </w:rPr>
              <w:t>63.6%</w:t>
            </w:r>
          </w:p>
        </w:tc>
        <w:tc>
          <w:tcPr>
            <w:tcW w:w="1170" w:type="dxa"/>
          </w:tcPr>
          <w:p w14:paraId="481C77E2" w14:textId="77777777" w:rsidR="00BB224E" w:rsidRPr="00BB224E" w:rsidRDefault="00BB224E" w:rsidP="0001434A">
            <w:pPr>
              <w:suppressAutoHyphens/>
              <w:jc w:val="center"/>
              <w:rPr>
                <w:sz w:val="20"/>
              </w:rPr>
            </w:pPr>
          </w:p>
          <w:p w14:paraId="073003E1" w14:textId="77777777" w:rsidR="00BB224E" w:rsidRPr="00BB224E" w:rsidRDefault="00BB224E" w:rsidP="0001434A">
            <w:pPr>
              <w:suppressAutoHyphens/>
              <w:jc w:val="center"/>
              <w:rPr>
                <w:sz w:val="20"/>
              </w:rPr>
            </w:pPr>
          </w:p>
          <w:p w14:paraId="58117BFE" w14:textId="77777777" w:rsidR="00BB224E" w:rsidRPr="00BB224E" w:rsidRDefault="00BB224E" w:rsidP="0001434A">
            <w:pPr>
              <w:suppressAutoHyphens/>
              <w:jc w:val="center"/>
              <w:rPr>
                <w:sz w:val="20"/>
              </w:rPr>
            </w:pPr>
            <w:r w:rsidRPr="00BB224E">
              <w:rPr>
                <w:sz w:val="20"/>
              </w:rPr>
              <w:t>64.0%</w:t>
            </w:r>
          </w:p>
        </w:tc>
      </w:tr>
    </w:tbl>
    <w:p w14:paraId="61EB1021" w14:textId="77777777" w:rsidR="00585C01" w:rsidRDefault="00585C01" w:rsidP="008629E2">
      <w:pPr>
        <w:widowControl/>
        <w:tabs>
          <w:tab w:val="left" w:pos="1710"/>
        </w:tabs>
        <w:jc w:val="both"/>
        <w:rPr>
          <w:b/>
          <w:sz w:val="20"/>
        </w:rPr>
      </w:pPr>
    </w:p>
    <w:p w14:paraId="11D6BDD9" w14:textId="77777777" w:rsidR="00585C01" w:rsidRDefault="00585C01" w:rsidP="008629E2">
      <w:pPr>
        <w:widowControl/>
        <w:tabs>
          <w:tab w:val="left" w:pos="1710"/>
        </w:tabs>
        <w:ind w:left="1710" w:hanging="1350"/>
        <w:jc w:val="both"/>
        <w:rPr>
          <w:sz w:val="20"/>
        </w:rPr>
      </w:pPr>
      <w:r>
        <w:rPr>
          <w:b/>
          <w:sz w:val="20"/>
        </w:rPr>
        <w:t>Objective 4.6</w:t>
      </w:r>
      <w:r>
        <w:rPr>
          <w:sz w:val="20"/>
        </w:rPr>
        <w:tab/>
        <w:t xml:space="preserve">The six-year graduation rates of SU first-time, full-time minority freshmen will increase from </w:t>
      </w:r>
      <w:r w:rsidR="00D67803">
        <w:rPr>
          <w:sz w:val="20"/>
        </w:rPr>
        <w:t>66% in 2009 to 69.3</w:t>
      </w:r>
      <w:r w:rsidR="00FD2794">
        <w:rPr>
          <w:sz w:val="20"/>
        </w:rPr>
        <w:t>% in 2014</w:t>
      </w:r>
      <w:r>
        <w:rPr>
          <w:sz w:val="20"/>
        </w:rPr>
        <w:t>.</w:t>
      </w:r>
    </w:p>
    <w:p w14:paraId="763DEAF8" w14:textId="77777777" w:rsidR="00585C01" w:rsidRDefault="00585C01" w:rsidP="00585C01">
      <w:pPr>
        <w:tabs>
          <w:tab w:val="right" w:pos="5940"/>
          <w:tab w:val="right" w:pos="7380"/>
          <w:tab w:val="right" w:pos="8730"/>
          <w:tab w:val="right" w:pos="9990"/>
          <w:tab w:val="right" w:pos="11430"/>
          <w:tab w:val="right" w:pos="12780"/>
        </w:tabs>
        <w:snapToGrid w:val="0"/>
        <w:ind w:left="360" w:right="-54"/>
        <w:rPr>
          <w:b/>
          <w:bCs/>
          <w:sz w:val="20"/>
        </w:rPr>
      </w:pPr>
    </w:p>
    <w:tbl>
      <w:tblPr>
        <w:tblW w:w="11430" w:type="dxa"/>
        <w:tblInd w:w="468" w:type="dxa"/>
        <w:tblLayout w:type="fixed"/>
        <w:tblLook w:val="0000" w:firstRow="0" w:lastRow="0" w:firstColumn="0" w:lastColumn="0" w:noHBand="0" w:noVBand="0"/>
      </w:tblPr>
      <w:tblGrid>
        <w:gridCol w:w="1170"/>
        <w:gridCol w:w="3240"/>
        <w:gridCol w:w="1170"/>
        <w:gridCol w:w="1170"/>
        <w:gridCol w:w="1170"/>
        <w:gridCol w:w="1170"/>
        <w:gridCol w:w="1170"/>
        <w:gridCol w:w="1170"/>
      </w:tblGrid>
      <w:tr w:rsidR="0035631A" w14:paraId="286E8B0E" w14:textId="77777777" w:rsidTr="0035631A">
        <w:tblPrEx>
          <w:tblCellMar>
            <w:top w:w="0" w:type="dxa"/>
            <w:bottom w:w="0" w:type="dxa"/>
          </w:tblCellMar>
        </w:tblPrEx>
        <w:tc>
          <w:tcPr>
            <w:tcW w:w="4410" w:type="dxa"/>
            <w:gridSpan w:val="2"/>
            <w:vAlign w:val="bottom"/>
          </w:tcPr>
          <w:p w14:paraId="406C34B0" w14:textId="77777777" w:rsidR="0035631A" w:rsidRDefault="0035631A" w:rsidP="00E83818">
            <w:pPr>
              <w:suppressAutoHyphens/>
              <w:rPr>
                <w:sz w:val="20"/>
              </w:rPr>
            </w:pPr>
            <w:r>
              <w:rPr>
                <w:b/>
                <w:bCs/>
                <w:sz w:val="20"/>
              </w:rPr>
              <w:t>Performance Measures</w:t>
            </w:r>
          </w:p>
        </w:tc>
        <w:tc>
          <w:tcPr>
            <w:tcW w:w="1170" w:type="dxa"/>
            <w:vAlign w:val="bottom"/>
          </w:tcPr>
          <w:p w14:paraId="122E22E0" w14:textId="77777777" w:rsidR="0035631A" w:rsidRPr="003A2144" w:rsidRDefault="0035631A" w:rsidP="006441A6">
            <w:pPr>
              <w:tabs>
                <w:tab w:val="left" w:pos="285"/>
                <w:tab w:val="center" w:pos="598"/>
              </w:tabs>
              <w:suppressAutoHyphens/>
              <w:jc w:val="center"/>
              <w:rPr>
                <w:b/>
                <w:color w:val="0000FF"/>
                <w:sz w:val="20"/>
              </w:rPr>
            </w:pPr>
            <w:r>
              <w:rPr>
                <w:b/>
                <w:sz w:val="20"/>
              </w:rPr>
              <w:t>2009</w:t>
            </w:r>
            <w:r w:rsidRPr="003A2144">
              <w:rPr>
                <w:b/>
                <w:sz w:val="20"/>
              </w:rPr>
              <w:t xml:space="preserve"> Actual</w:t>
            </w:r>
          </w:p>
        </w:tc>
        <w:tc>
          <w:tcPr>
            <w:tcW w:w="1170" w:type="dxa"/>
            <w:vAlign w:val="bottom"/>
          </w:tcPr>
          <w:p w14:paraId="0EFCA42D" w14:textId="77777777" w:rsidR="0035631A" w:rsidRPr="003A2144" w:rsidRDefault="0035631A" w:rsidP="00E5177D">
            <w:pPr>
              <w:tabs>
                <w:tab w:val="left" w:pos="285"/>
                <w:tab w:val="center" w:pos="598"/>
              </w:tabs>
              <w:suppressAutoHyphens/>
              <w:jc w:val="center"/>
              <w:rPr>
                <w:b/>
                <w:color w:val="0000FF"/>
                <w:sz w:val="20"/>
              </w:rPr>
            </w:pPr>
            <w:r>
              <w:rPr>
                <w:b/>
                <w:sz w:val="20"/>
              </w:rPr>
              <w:t>2010</w:t>
            </w:r>
            <w:r w:rsidRPr="003A2144">
              <w:rPr>
                <w:b/>
                <w:sz w:val="20"/>
              </w:rPr>
              <w:t xml:space="preserve"> Actual</w:t>
            </w:r>
          </w:p>
        </w:tc>
        <w:tc>
          <w:tcPr>
            <w:tcW w:w="1170" w:type="dxa"/>
          </w:tcPr>
          <w:p w14:paraId="0D32F9B0" w14:textId="77777777" w:rsidR="0035631A" w:rsidRPr="00986C2B" w:rsidRDefault="0035631A" w:rsidP="00C238B5">
            <w:pPr>
              <w:tabs>
                <w:tab w:val="left" w:pos="285"/>
                <w:tab w:val="center" w:pos="598"/>
              </w:tabs>
              <w:suppressAutoHyphens/>
              <w:jc w:val="center"/>
              <w:rPr>
                <w:b/>
                <w:sz w:val="20"/>
              </w:rPr>
            </w:pPr>
            <w:r>
              <w:rPr>
                <w:b/>
                <w:sz w:val="20"/>
              </w:rPr>
              <w:t>2011</w:t>
            </w:r>
            <w:r w:rsidRPr="00986C2B">
              <w:rPr>
                <w:b/>
                <w:sz w:val="20"/>
              </w:rPr>
              <w:t xml:space="preserve"> </w:t>
            </w:r>
            <w:r>
              <w:rPr>
                <w:b/>
                <w:sz w:val="20"/>
              </w:rPr>
              <w:t>Actual</w:t>
            </w:r>
          </w:p>
        </w:tc>
        <w:tc>
          <w:tcPr>
            <w:tcW w:w="1170" w:type="dxa"/>
          </w:tcPr>
          <w:p w14:paraId="77A19646" w14:textId="77777777" w:rsidR="0035631A" w:rsidRPr="00986C2B" w:rsidRDefault="0035631A" w:rsidP="007B226B">
            <w:pPr>
              <w:tabs>
                <w:tab w:val="left" w:pos="285"/>
                <w:tab w:val="center" w:pos="598"/>
              </w:tabs>
              <w:suppressAutoHyphens/>
              <w:jc w:val="center"/>
              <w:rPr>
                <w:b/>
                <w:sz w:val="20"/>
              </w:rPr>
            </w:pPr>
            <w:r>
              <w:rPr>
                <w:b/>
                <w:sz w:val="20"/>
              </w:rPr>
              <w:t>2012</w:t>
            </w:r>
            <w:r w:rsidRPr="00986C2B">
              <w:rPr>
                <w:b/>
                <w:sz w:val="20"/>
              </w:rPr>
              <w:t xml:space="preserve"> </w:t>
            </w:r>
            <w:r w:rsidR="007B226B">
              <w:rPr>
                <w:b/>
                <w:sz w:val="20"/>
              </w:rPr>
              <w:t>Actual</w:t>
            </w:r>
          </w:p>
        </w:tc>
        <w:tc>
          <w:tcPr>
            <w:tcW w:w="1170" w:type="dxa"/>
          </w:tcPr>
          <w:p w14:paraId="0D0EE442" w14:textId="77777777" w:rsidR="0035631A" w:rsidRDefault="0035631A" w:rsidP="00C238B5">
            <w:pPr>
              <w:tabs>
                <w:tab w:val="left" w:pos="285"/>
                <w:tab w:val="center" w:pos="598"/>
              </w:tabs>
              <w:suppressAutoHyphens/>
              <w:jc w:val="center"/>
              <w:rPr>
                <w:b/>
                <w:sz w:val="20"/>
              </w:rPr>
            </w:pPr>
            <w:r>
              <w:rPr>
                <w:b/>
                <w:sz w:val="20"/>
              </w:rPr>
              <w:t>2013</w:t>
            </w:r>
            <w:r w:rsidRPr="00986C2B">
              <w:rPr>
                <w:b/>
                <w:sz w:val="20"/>
              </w:rPr>
              <w:t xml:space="preserve"> Estimated</w:t>
            </w:r>
          </w:p>
        </w:tc>
        <w:tc>
          <w:tcPr>
            <w:tcW w:w="1170" w:type="dxa"/>
          </w:tcPr>
          <w:p w14:paraId="0F576FF4" w14:textId="77777777" w:rsidR="0035631A" w:rsidRDefault="0035631A" w:rsidP="00C238B5">
            <w:pPr>
              <w:tabs>
                <w:tab w:val="left" w:pos="285"/>
                <w:tab w:val="center" w:pos="598"/>
              </w:tabs>
              <w:suppressAutoHyphens/>
              <w:jc w:val="center"/>
              <w:rPr>
                <w:b/>
                <w:sz w:val="20"/>
              </w:rPr>
            </w:pPr>
            <w:r>
              <w:rPr>
                <w:b/>
                <w:sz w:val="20"/>
              </w:rPr>
              <w:t>2014 Estimated</w:t>
            </w:r>
          </w:p>
        </w:tc>
      </w:tr>
      <w:tr w:rsidR="0035631A" w14:paraId="566E64EF" w14:textId="77777777" w:rsidTr="0035631A">
        <w:tblPrEx>
          <w:tblCellMar>
            <w:top w:w="0" w:type="dxa"/>
            <w:bottom w:w="0" w:type="dxa"/>
          </w:tblCellMar>
        </w:tblPrEx>
        <w:tc>
          <w:tcPr>
            <w:tcW w:w="1170" w:type="dxa"/>
            <w:vAlign w:val="bottom"/>
          </w:tcPr>
          <w:p w14:paraId="33D96065" w14:textId="77777777" w:rsidR="0035631A" w:rsidRPr="005D4D69" w:rsidRDefault="0035631A" w:rsidP="0001434A">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rPr>
                <w:sz w:val="20"/>
              </w:rPr>
            </w:pPr>
            <w:r w:rsidRPr="005D4D69">
              <w:rPr>
                <w:sz w:val="20"/>
              </w:rPr>
              <w:t>Output</w:t>
            </w:r>
          </w:p>
        </w:tc>
        <w:tc>
          <w:tcPr>
            <w:tcW w:w="3240" w:type="dxa"/>
            <w:vAlign w:val="bottom"/>
          </w:tcPr>
          <w:p w14:paraId="3553C108" w14:textId="77777777" w:rsidR="0035631A" w:rsidRPr="005D4D69" w:rsidRDefault="0035631A" w:rsidP="0001434A">
            <w:pPr>
              <w:suppressAutoHyphens/>
              <w:rPr>
                <w:sz w:val="20"/>
                <w:vertAlign w:val="superscript"/>
              </w:rPr>
            </w:pPr>
            <w:r w:rsidRPr="005D4D69">
              <w:rPr>
                <w:sz w:val="20"/>
              </w:rPr>
              <w:t>6-year graduation rate of first-time, full-time freshmen: minority students</w:t>
            </w:r>
            <w:r w:rsidRPr="005D4D69">
              <w:rPr>
                <w:sz w:val="20"/>
                <w:vertAlign w:val="superscript"/>
              </w:rPr>
              <w:t>5</w:t>
            </w:r>
          </w:p>
        </w:tc>
        <w:tc>
          <w:tcPr>
            <w:tcW w:w="1170" w:type="dxa"/>
            <w:vAlign w:val="bottom"/>
          </w:tcPr>
          <w:p w14:paraId="69212E8A" w14:textId="77777777" w:rsidR="0035631A" w:rsidRPr="005D4D69" w:rsidRDefault="0035631A" w:rsidP="006441A6">
            <w:pPr>
              <w:suppressAutoHyphens/>
              <w:jc w:val="center"/>
              <w:rPr>
                <w:sz w:val="20"/>
              </w:rPr>
            </w:pPr>
            <w:r w:rsidRPr="005D4D69">
              <w:rPr>
                <w:sz w:val="20"/>
              </w:rPr>
              <w:t>65.7%</w:t>
            </w:r>
          </w:p>
        </w:tc>
        <w:tc>
          <w:tcPr>
            <w:tcW w:w="1170" w:type="dxa"/>
            <w:vAlign w:val="bottom"/>
          </w:tcPr>
          <w:p w14:paraId="39034DC8" w14:textId="77777777" w:rsidR="0035631A" w:rsidRPr="005D4D69" w:rsidRDefault="0035631A" w:rsidP="00C238B5">
            <w:pPr>
              <w:tabs>
                <w:tab w:val="left" w:pos="285"/>
                <w:tab w:val="center" w:pos="598"/>
              </w:tabs>
              <w:suppressAutoHyphens/>
              <w:jc w:val="center"/>
              <w:rPr>
                <w:sz w:val="20"/>
              </w:rPr>
            </w:pPr>
            <w:r w:rsidRPr="005D4D69">
              <w:rPr>
                <w:sz w:val="20"/>
              </w:rPr>
              <w:t>67.7%</w:t>
            </w:r>
          </w:p>
        </w:tc>
        <w:tc>
          <w:tcPr>
            <w:tcW w:w="1170" w:type="dxa"/>
          </w:tcPr>
          <w:p w14:paraId="4ECBCFD7" w14:textId="77777777" w:rsidR="0035631A" w:rsidRPr="005D4D69" w:rsidRDefault="0035631A" w:rsidP="00C238B5">
            <w:pPr>
              <w:suppressAutoHyphens/>
              <w:jc w:val="center"/>
              <w:rPr>
                <w:sz w:val="20"/>
              </w:rPr>
            </w:pPr>
          </w:p>
          <w:p w14:paraId="7BF1514E" w14:textId="77777777" w:rsidR="0035631A" w:rsidRPr="005D4D69" w:rsidRDefault="0035631A" w:rsidP="00C238B5">
            <w:pPr>
              <w:suppressAutoHyphens/>
              <w:jc w:val="center"/>
              <w:rPr>
                <w:sz w:val="20"/>
              </w:rPr>
            </w:pPr>
            <w:r w:rsidRPr="005D4D69">
              <w:rPr>
                <w:sz w:val="20"/>
              </w:rPr>
              <w:t>68.0%</w:t>
            </w:r>
          </w:p>
        </w:tc>
        <w:tc>
          <w:tcPr>
            <w:tcW w:w="1170" w:type="dxa"/>
            <w:vAlign w:val="bottom"/>
          </w:tcPr>
          <w:p w14:paraId="73C9143F" w14:textId="77777777" w:rsidR="0035631A" w:rsidRPr="005D4D69" w:rsidRDefault="003B1E03" w:rsidP="005D4D69">
            <w:pPr>
              <w:suppressAutoHyphens/>
              <w:jc w:val="center"/>
              <w:rPr>
                <w:sz w:val="20"/>
              </w:rPr>
            </w:pPr>
            <w:r>
              <w:rPr>
                <w:sz w:val="20"/>
              </w:rPr>
              <w:t>63.2</w:t>
            </w:r>
            <w:r w:rsidR="0035631A" w:rsidRPr="005D4D69">
              <w:rPr>
                <w:sz w:val="20"/>
              </w:rPr>
              <w:t>%</w:t>
            </w:r>
          </w:p>
        </w:tc>
        <w:tc>
          <w:tcPr>
            <w:tcW w:w="1170" w:type="dxa"/>
          </w:tcPr>
          <w:p w14:paraId="041A98EC" w14:textId="77777777" w:rsidR="0035631A" w:rsidRPr="005D4D69" w:rsidRDefault="0035631A" w:rsidP="0001434A">
            <w:pPr>
              <w:suppressAutoHyphens/>
              <w:jc w:val="center"/>
              <w:rPr>
                <w:sz w:val="20"/>
              </w:rPr>
            </w:pPr>
          </w:p>
          <w:p w14:paraId="0B6935BB" w14:textId="77777777" w:rsidR="0035631A" w:rsidRPr="00BB224E" w:rsidRDefault="0035631A" w:rsidP="00BB224E">
            <w:pPr>
              <w:suppressAutoHyphens/>
              <w:jc w:val="center"/>
              <w:rPr>
                <w:sz w:val="20"/>
              </w:rPr>
            </w:pPr>
            <w:r w:rsidRPr="00BB224E">
              <w:rPr>
                <w:sz w:val="20"/>
              </w:rPr>
              <w:t>6</w:t>
            </w:r>
            <w:r w:rsidR="00BB224E" w:rsidRPr="00BB224E">
              <w:rPr>
                <w:sz w:val="20"/>
              </w:rPr>
              <w:t>6</w:t>
            </w:r>
            <w:r w:rsidRPr="00BB224E">
              <w:rPr>
                <w:sz w:val="20"/>
              </w:rPr>
              <w:t>.</w:t>
            </w:r>
            <w:r w:rsidR="00BB224E" w:rsidRPr="00BB224E">
              <w:rPr>
                <w:sz w:val="20"/>
              </w:rPr>
              <w:t>0%</w:t>
            </w:r>
          </w:p>
        </w:tc>
        <w:tc>
          <w:tcPr>
            <w:tcW w:w="1170" w:type="dxa"/>
          </w:tcPr>
          <w:p w14:paraId="5E3F0FEA" w14:textId="77777777" w:rsidR="0035631A" w:rsidRDefault="0035631A" w:rsidP="0001434A">
            <w:pPr>
              <w:suppressAutoHyphens/>
              <w:jc w:val="center"/>
              <w:rPr>
                <w:sz w:val="20"/>
              </w:rPr>
            </w:pPr>
          </w:p>
          <w:p w14:paraId="34525AB3" w14:textId="77777777" w:rsidR="00BB224E" w:rsidRPr="005D4D69" w:rsidRDefault="00BB224E" w:rsidP="0001434A">
            <w:pPr>
              <w:suppressAutoHyphens/>
              <w:jc w:val="center"/>
              <w:rPr>
                <w:sz w:val="20"/>
              </w:rPr>
            </w:pPr>
            <w:r>
              <w:rPr>
                <w:sz w:val="20"/>
              </w:rPr>
              <w:t>69.3%</w:t>
            </w:r>
          </w:p>
        </w:tc>
      </w:tr>
    </w:tbl>
    <w:p w14:paraId="642311D8" w14:textId="77777777" w:rsidR="00162E17" w:rsidRDefault="00162E17" w:rsidP="00301DAE">
      <w:pPr>
        <w:rPr>
          <w:b/>
          <w:bCs/>
          <w:sz w:val="20"/>
          <w:u w:val="single"/>
        </w:rPr>
      </w:pPr>
    </w:p>
    <w:p w14:paraId="30707053" w14:textId="77777777" w:rsidR="00823514" w:rsidRPr="00FD3D0D" w:rsidRDefault="00301DAE" w:rsidP="00FF5EFE">
      <w:pPr>
        <w:rPr>
          <w:b/>
          <w:bCs/>
          <w:sz w:val="20"/>
          <w:u w:val="single"/>
          <w:vertAlign w:val="superscript"/>
        </w:rPr>
      </w:pPr>
      <w:r w:rsidRPr="00783AFB">
        <w:rPr>
          <w:b/>
          <w:bCs/>
          <w:sz w:val="20"/>
          <w:u w:val="single"/>
        </w:rPr>
        <w:lastRenderedPageBreak/>
        <w:t>Additional Indicators</w:t>
      </w:r>
      <w:r w:rsidR="00FD3D0D">
        <w:rPr>
          <w:b/>
          <w:bCs/>
          <w:sz w:val="20"/>
          <w:u w:val="single"/>
          <w:vertAlign w:val="superscript"/>
        </w:rPr>
        <w:t>6</w:t>
      </w:r>
    </w:p>
    <w:tbl>
      <w:tblPr>
        <w:tblpPr w:leftFromText="180" w:rightFromText="180" w:vertAnchor="text" w:horzAnchor="margin" w:tblpX="468" w:tblpY="62"/>
        <w:tblW w:w="11250" w:type="dxa"/>
        <w:tblLayout w:type="fixed"/>
        <w:tblLook w:val="0000" w:firstRow="0" w:lastRow="0" w:firstColumn="0" w:lastColumn="0" w:noHBand="0" w:noVBand="0"/>
      </w:tblPr>
      <w:tblGrid>
        <w:gridCol w:w="1188"/>
        <w:gridCol w:w="3222"/>
        <w:gridCol w:w="18"/>
        <w:gridCol w:w="1062"/>
        <w:gridCol w:w="1080"/>
        <w:gridCol w:w="1170"/>
        <w:gridCol w:w="1170"/>
        <w:gridCol w:w="1170"/>
        <w:gridCol w:w="1170"/>
      </w:tblGrid>
      <w:tr w:rsidR="00256DAA" w:rsidRPr="00986C2B" w14:paraId="2702B030" w14:textId="77777777" w:rsidTr="00DC4661">
        <w:tblPrEx>
          <w:tblCellMar>
            <w:top w:w="0" w:type="dxa"/>
            <w:bottom w:w="0" w:type="dxa"/>
          </w:tblCellMar>
        </w:tblPrEx>
        <w:tc>
          <w:tcPr>
            <w:tcW w:w="4410" w:type="dxa"/>
            <w:gridSpan w:val="2"/>
            <w:vAlign w:val="bottom"/>
          </w:tcPr>
          <w:p w14:paraId="6491E65C" w14:textId="77777777" w:rsidR="00256DAA" w:rsidRDefault="00256DAA" w:rsidP="00DC4661">
            <w:pPr>
              <w:suppressAutoHyphens/>
              <w:rPr>
                <w:sz w:val="20"/>
              </w:rPr>
            </w:pPr>
            <w:r>
              <w:rPr>
                <w:b/>
                <w:bCs/>
                <w:sz w:val="20"/>
              </w:rPr>
              <w:t>Performance Measures</w:t>
            </w:r>
          </w:p>
        </w:tc>
        <w:tc>
          <w:tcPr>
            <w:tcW w:w="1080" w:type="dxa"/>
            <w:gridSpan w:val="2"/>
            <w:vAlign w:val="bottom"/>
          </w:tcPr>
          <w:p w14:paraId="4C3F38D4" w14:textId="77777777" w:rsidR="00256DAA" w:rsidRDefault="00256DAA" w:rsidP="00DC4661">
            <w:pPr>
              <w:suppressAutoHyphens/>
              <w:jc w:val="center"/>
              <w:rPr>
                <w:b/>
                <w:sz w:val="20"/>
              </w:rPr>
            </w:pPr>
            <w:r>
              <w:rPr>
                <w:b/>
                <w:sz w:val="20"/>
              </w:rPr>
              <w:t>2000</w:t>
            </w:r>
          </w:p>
          <w:p w14:paraId="3073FBF3" w14:textId="77777777" w:rsidR="00256DAA" w:rsidRPr="003A2144" w:rsidRDefault="00256DAA" w:rsidP="00DC4661">
            <w:pPr>
              <w:suppressAutoHyphens/>
              <w:jc w:val="center"/>
              <w:rPr>
                <w:b/>
                <w:sz w:val="20"/>
              </w:rPr>
            </w:pPr>
            <w:r>
              <w:rPr>
                <w:b/>
                <w:sz w:val="20"/>
              </w:rPr>
              <w:t>Survey</w:t>
            </w:r>
            <w:r w:rsidRPr="003A2144">
              <w:rPr>
                <w:b/>
                <w:sz w:val="20"/>
              </w:rPr>
              <w:t xml:space="preserve"> Actual</w:t>
            </w:r>
          </w:p>
        </w:tc>
        <w:tc>
          <w:tcPr>
            <w:tcW w:w="1080" w:type="dxa"/>
            <w:vAlign w:val="bottom"/>
          </w:tcPr>
          <w:p w14:paraId="6C95786F" w14:textId="77777777" w:rsidR="00256DAA" w:rsidRDefault="00256DAA" w:rsidP="00DC4661">
            <w:pPr>
              <w:suppressAutoHyphens/>
              <w:jc w:val="center"/>
              <w:rPr>
                <w:b/>
                <w:sz w:val="20"/>
              </w:rPr>
            </w:pPr>
            <w:r>
              <w:rPr>
                <w:b/>
                <w:sz w:val="20"/>
              </w:rPr>
              <w:t>2002</w:t>
            </w:r>
          </w:p>
          <w:p w14:paraId="3D3A2E63" w14:textId="77777777" w:rsidR="00256DAA" w:rsidRPr="003A2144" w:rsidRDefault="00256DAA" w:rsidP="00DC4661">
            <w:pPr>
              <w:suppressAutoHyphens/>
              <w:jc w:val="center"/>
              <w:rPr>
                <w:b/>
                <w:sz w:val="20"/>
              </w:rPr>
            </w:pPr>
            <w:r>
              <w:rPr>
                <w:b/>
                <w:sz w:val="20"/>
              </w:rPr>
              <w:t>Survey</w:t>
            </w:r>
            <w:r w:rsidRPr="003A2144">
              <w:rPr>
                <w:b/>
                <w:sz w:val="20"/>
              </w:rPr>
              <w:t xml:space="preserve"> Actual</w:t>
            </w:r>
          </w:p>
        </w:tc>
        <w:tc>
          <w:tcPr>
            <w:tcW w:w="1170" w:type="dxa"/>
            <w:vAlign w:val="bottom"/>
          </w:tcPr>
          <w:p w14:paraId="7C1273BD" w14:textId="77777777" w:rsidR="00256DAA" w:rsidRDefault="00256DAA" w:rsidP="00DC4661">
            <w:pPr>
              <w:tabs>
                <w:tab w:val="left" w:pos="285"/>
                <w:tab w:val="center" w:pos="598"/>
              </w:tabs>
              <w:suppressAutoHyphens/>
              <w:jc w:val="center"/>
              <w:rPr>
                <w:b/>
                <w:sz w:val="20"/>
              </w:rPr>
            </w:pPr>
            <w:r>
              <w:rPr>
                <w:b/>
                <w:sz w:val="20"/>
              </w:rPr>
              <w:t>2005</w:t>
            </w:r>
          </w:p>
          <w:p w14:paraId="6AEF0973" w14:textId="77777777" w:rsidR="00256DAA" w:rsidRPr="003A2144" w:rsidRDefault="00256DAA" w:rsidP="00DC4661">
            <w:pPr>
              <w:tabs>
                <w:tab w:val="left" w:pos="285"/>
                <w:tab w:val="center" w:pos="598"/>
              </w:tabs>
              <w:suppressAutoHyphens/>
              <w:jc w:val="center"/>
              <w:rPr>
                <w:b/>
                <w:color w:val="0000FF"/>
                <w:sz w:val="20"/>
              </w:rPr>
            </w:pPr>
            <w:r>
              <w:rPr>
                <w:b/>
                <w:sz w:val="20"/>
              </w:rPr>
              <w:t>Survey</w:t>
            </w:r>
            <w:r w:rsidRPr="003A2144">
              <w:rPr>
                <w:b/>
                <w:sz w:val="20"/>
              </w:rPr>
              <w:t xml:space="preserve"> Actual</w:t>
            </w:r>
          </w:p>
        </w:tc>
        <w:tc>
          <w:tcPr>
            <w:tcW w:w="1170" w:type="dxa"/>
            <w:vAlign w:val="bottom"/>
          </w:tcPr>
          <w:p w14:paraId="6F4A8147" w14:textId="77777777" w:rsidR="00256DAA" w:rsidRDefault="00256DAA" w:rsidP="00DC4661">
            <w:pPr>
              <w:tabs>
                <w:tab w:val="left" w:pos="285"/>
                <w:tab w:val="center" w:pos="598"/>
              </w:tabs>
              <w:suppressAutoHyphens/>
              <w:jc w:val="center"/>
              <w:rPr>
                <w:b/>
                <w:sz w:val="20"/>
              </w:rPr>
            </w:pPr>
            <w:r>
              <w:rPr>
                <w:b/>
                <w:sz w:val="20"/>
              </w:rPr>
              <w:t>2008</w:t>
            </w:r>
          </w:p>
          <w:p w14:paraId="184E6E6A" w14:textId="77777777" w:rsidR="00256DAA" w:rsidRPr="003A2144" w:rsidRDefault="00256DAA" w:rsidP="00DC4661">
            <w:pPr>
              <w:tabs>
                <w:tab w:val="left" w:pos="285"/>
                <w:tab w:val="center" w:pos="598"/>
              </w:tabs>
              <w:suppressAutoHyphens/>
              <w:jc w:val="center"/>
              <w:rPr>
                <w:b/>
                <w:color w:val="0000FF"/>
                <w:sz w:val="20"/>
              </w:rPr>
            </w:pPr>
            <w:r>
              <w:rPr>
                <w:b/>
                <w:sz w:val="20"/>
              </w:rPr>
              <w:t>Survey</w:t>
            </w:r>
            <w:r w:rsidRPr="003A2144">
              <w:rPr>
                <w:b/>
                <w:sz w:val="20"/>
              </w:rPr>
              <w:t xml:space="preserve"> Actual</w:t>
            </w:r>
          </w:p>
        </w:tc>
        <w:tc>
          <w:tcPr>
            <w:tcW w:w="1170" w:type="dxa"/>
          </w:tcPr>
          <w:p w14:paraId="13EEA876" w14:textId="77777777" w:rsidR="00256DAA" w:rsidRPr="00986C2B" w:rsidRDefault="00256DAA" w:rsidP="00256DAA">
            <w:pPr>
              <w:tabs>
                <w:tab w:val="left" w:pos="285"/>
                <w:tab w:val="center" w:pos="598"/>
              </w:tabs>
              <w:suppressAutoHyphens/>
              <w:jc w:val="center"/>
              <w:rPr>
                <w:b/>
                <w:sz w:val="20"/>
              </w:rPr>
            </w:pPr>
            <w:r>
              <w:rPr>
                <w:b/>
                <w:sz w:val="20"/>
              </w:rPr>
              <w:t>2011</w:t>
            </w:r>
            <w:r w:rsidRPr="00986C2B">
              <w:rPr>
                <w:b/>
                <w:sz w:val="20"/>
              </w:rPr>
              <w:t xml:space="preserve"> </w:t>
            </w:r>
            <w:r>
              <w:rPr>
                <w:b/>
                <w:sz w:val="20"/>
              </w:rPr>
              <w:t>Survey Actual</w:t>
            </w:r>
          </w:p>
        </w:tc>
        <w:tc>
          <w:tcPr>
            <w:tcW w:w="1170" w:type="dxa"/>
          </w:tcPr>
          <w:p w14:paraId="45C16313" w14:textId="77777777" w:rsidR="00256DAA" w:rsidRPr="00986C2B" w:rsidRDefault="00256DAA" w:rsidP="00DC4661">
            <w:pPr>
              <w:tabs>
                <w:tab w:val="left" w:pos="285"/>
                <w:tab w:val="center" w:pos="598"/>
              </w:tabs>
              <w:suppressAutoHyphens/>
              <w:jc w:val="center"/>
              <w:rPr>
                <w:b/>
                <w:sz w:val="20"/>
              </w:rPr>
            </w:pPr>
            <w:r>
              <w:rPr>
                <w:b/>
                <w:sz w:val="20"/>
              </w:rPr>
              <w:t>2014</w:t>
            </w:r>
            <w:r w:rsidRPr="00986C2B">
              <w:rPr>
                <w:b/>
                <w:sz w:val="20"/>
              </w:rPr>
              <w:t xml:space="preserve"> </w:t>
            </w:r>
            <w:r>
              <w:rPr>
                <w:b/>
                <w:sz w:val="20"/>
              </w:rPr>
              <w:t xml:space="preserve">Survey </w:t>
            </w:r>
            <w:r w:rsidRPr="00986C2B">
              <w:rPr>
                <w:b/>
                <w:sz w:val="20"/>
              </w:rPr>
              <w:t>Estimated</w:t>
            </w:r>
          </w:p>
        </w:tc>
      </w:tr>
      <w:tr w:rsidR="00256DAA" w:rsidRPr="00371CD1" w14:paraId="73F7622A" w14:textId="77777777" w:rsidTr="00DC4661">
        <w:tblPrEx>
          <w:tblCellMar>
            <w:top w:w="0" w:type="dxa"/>
            <w:bottom w:w="0" w:type="dxa"/>
          </w:tblCellMar>
        </w:tblPrEx>
        <w:tc>
          <w:tcPr>
            <w:tcW w:w="1188" w:type="dxa"/>
            <w:vAlign w:val="bottom"/>
          </w:tcPr>
          <w:p w14:paraId="2D2DE493" w14:textId="77777777" w:rsidR="00256DAA" w:rsidRPr="00955CDB" w:rsidRDefault="00256DAA" w:rsidP="00DC4661">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p>
          <w:p w14:paraId="54A6ABA6" w14:textId="77777777" w:rsidR="00256DAA" w:rsidRPr="00955CDB" w:rsidRDefault="00256DAA" w:rsidP="00DC4661">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r w:rsidRPr="00955CDB">
              <w:rPr>
                <w:sz w:val="20"/>
              </w:rPr>
              <w:t>Outcome</w:t>
            </w:r>
          </w:p>
        </w:tc>
        <w:tc>
          <w:tcPr>
            <w:tcW w:w="3240" w:type="dxa"/>
            <w:gridSpan w:val="2"/>
            <w:vAlign w:val="bottom"/>
          </w:tcPr>
          <w:p w14:paraId="1913EDC0" w14:textId="77777777" w:rsidR="00256DAA" w:rsidRPr="00955CDB" w:rsidRDefault="00256DAA" w:rsidP="00DC4661">
            <w:pPr>
              <w:suppressAutoHyphens/>
              <w:rPr>
                <w:sz w:val="20"/>
              </w:rPr>
            </w:pPr>
            <w:r w:rsidRPr="00955CDB">
              <w:rPr>
                <w:sz w:val="20"/>
              </w:rPr>
              <w:t>Median salary of SU graduates</w:t>
            </w:r>
          </w:p>
        </w:tc>
        <w:tc>
          <w:tcPr>
            <w:tcW w:w="1062" w:type="dxa"/>
          </w:tcPr>
          <w:p w14:paraId="2C94AE8D" w14:textId="77777777" w:rsidR="00256DAA" w:rsidRDefault="00256DAA" w:rsidP="00DC4661">
            <w:pPr>
              <w:suppressAutoHyphens/>
              <w:jc w:val="center"/>
              <w:rPr>
                <w:sz w:val="20"/>
              </w:rPr>
            </w:pPr>
          </w:p>
          <w:p w14:paraId="5EF91BDB" w14:textId="77777777" w:rsidR="00256DAA" w:rsidRPr="002E076F" w:rsidRDefault="00256DAA" w:rsidP="00DC4661">
            <w:pPr>
              <w:suppressAutoHyphens/>
              <w:jc w:val="center"/>
              <w:rPr>
                <w:sz w:val="20"/>
              </w:rPr>
            </w:pPr>
            <w:r>
              <w:rPr>
                <w:sz w:val="20"/>
              </w:rPr>
              <w:t>$27,500</w:t>
            </w:r>
          </w:p>
        </w:tc>
        <w:tc>
          <w:tcPr>
            <w:tcW w:w="1080" w:type="dxa"/>
          </w:tcPr>
          <w:p w14:paraId="15AE8916" w14:textId="77777777" w:rsidR="00256DAA" w:rsidRDefault="00256DAA" w:rsidP="00DC4661">
            <w:pPr>
              <w:suppressAutoHyphens/>
              <w:jc w:val="center"/>
              <w:rPr>
                <w:sz w:val="20"/>
              </w:rPr>
            </w:pPr>
          </w:p>
          <w:p w14:paraId="63CDD360" w14:textId="77777777" w:rsidR="00256DAA" w:rsidRPr="002E076F" w:rsidRDefault="00256DAA" w:rsidP="00DC4661">
            <w:pPr>
              <w:suppressAutoHyphens/>
              <w:jc w:val="center"/>
              <w:rPr>
                <w:sz w:val="20"/>
              </w:rPr>
            </w:pPr>
            <w:r>
              <w:rPr>
                <w:sz w:val="20"/>
              </w:rPr>
              <w:t>$32,014</w:t>
            </w:r>
          </w:p>
        </w:tc>
        <w:tc>
          <w:tcPr>
            <w:tcW w:w="1170" w:type="dxa"/>
          </w:tcPr>
          <w:p w14:paraId="6A330787" w14:textId="77777777" w:rsidR="00256DAA" w:rsidRDefault="00256DAA" w:rsidP="00DC4661">
            <w:pPr>
              <w:tabs>
                <w:tab w:val="left" w:pos="285"/>
                <w:tab w:val="center" w:pos="598"/>
              </w:tabs>
              <w:suppressAutoHyphens/>
              <w:jc w:val="center"/>
              <w:rPr>
                <w:sz w:val="20"/>
              </w:rPr>
            </w:pPr>
          </w:p>
          <w:p w14:paraId="42B4B756" w14:textId="77777777" w:rsidR="00256DAA" w:rsidRPr="002E076F" w:rsidRDefault="00256DAA" w:rsidP="00DC4661">
            <w:pPr>
              <w:suppressAutoHyphens/>
              <w:jc w:val="center"/>
              <w:rPr>
                <w:sz w:val="20"/>
              </w:rPr>
            </w:pPr>
            <w:r>
              <w:rPr>
                <w:sz w:val="20"/>
              </w:rPr>
              <w:t>$34,711</w:t>
            </w:r>
          </w:p>
        </w:tc>
        <w:tc>
          <w:tcPr>
            <w:tcW w:w="1170" w:type="dxa"/>
          </w:tcPr>
          <w:p w14:paraId="29EA2A4C" w14:textId="77777777" w:rsidR="00256DAA" w:rsidRDefault="00256DAA" w:rsidP="00DC4661">
            <w:pPr>
              <w:tabs>
                <w:tab w:val="left" w:pos="285"/>
                <w:tab w:val="center" w:pos="598"/>
              </w:tabs>
              <w:suppressAutoHyphens/>
              <w:jc w:val="center"/>
              <w:rPr>
                <w:sz w:val="20"/>
              </w:rPr>
            </w:pPr>
          </w:p>
          <w:p w14:paraId="17656719" w14:textId="77777777" w:rsidR="00256DAA" w:rsidRDefault="00256DAA" w:rsidP="00DC4661">
            <w:pPr>
              <w:tabs>
                <w:tab w:val="left" w:pos="285"/>
                <w:tab w:val="center" w:pos="598"/>
              </w:tabs>
              <w:suppressAutoHyphens/>
              <w:jc w:val="center"/>
              <w:rPr>
                <w:sz w:val="20"/>
              </w:rPr>
            </w:pPr>
            <w:r>
              <w:rPr>
                <w:sz w:val="20"/>
              </w:rPr>
              <w:t>$39,814</w:t>
            </w:r>
          </w:p>
          <w:p w14:paraId="2830FA7B" w14:textId="77777777" w:rsidR="00256DAA" w:rsidRPr="000B1917" w:rsidRDefault="00256DAA" w:rsidP="00DC4661">
            <w:pPr>
              <w:tabs>
                <w:tab w:val="left" w:pos="285"/>
                <w:tab w:val="center" w:pos="598"/>
              </w:tabs>
              <w:suppressAutoHyphens/>
              <w:jc w:val="center"/>
              <w:rPr>
                <w:sz w:val="20"/>
              </w:rPr>
            </w:pPr>
          </w:p>
        </w:tc>
        <w:tc>
          <w:tcPr>
            <w:tcW w:w="1170" w:type="dxa"/>
          </w:tcPr>
          <w:p w14:paraId="7A0616B3" w14:textId="77777777" w:rsidR="00256DAA" w:rsidRPr="00371CD1" w:rsidRDefault="00256DAA" w:rsidP="00DC4661">
            <w:pPr>
              <w:suppressAutoHyphens/>
              <w:jc w:val="center"/>
              <w:rPr>
                <w:sz w:val="20"/>
              </w:rPr>
            </w:pPr>
          </w:p>
          <w:p w14:paraId="56A1BEF2" w14:textId="77777777" w:rsidR="00256DAA" w:rsidRPr="00371CD1" w:rsidRDefault="00256DAA" w:rsidP="00DC4661">
            <w:pPr>
              <w:suppressAutoHyphens/>
              <w:jc w:val="center"/>
              <w:rPr>
                <w:sz w:val="20"/>
              </w:rPr>
            </w:pPr>
            <w:r w:rsidRPr="00371CD1">
              <w:rPr>
                <w:sz w:val="20"/>
              </w:rPr>
              <w:t>$</w:t>
            </w:r>
            <w:r>
              <w:rPr>
                <w:sz w:val="20"/>
              </w:rPr>
              <w:t>34,422</w:t>
            </w:r>
          </w:p>
        </w:tc>
        <w:tc>
          <w:tcPr>
            <w:tcW w:w="1170" w:type="dxa"/>
          </w:tcPr>
          <w:p w14:paraId="162735BD" w14:textId="77777777" w:rsidR="00256DAA" w:rsidRPr="00371CD1" w:rsidRDefault="00256DAA" w:rsidP="00DC4661">
            <w:pPr>
              <w:suppressAutoHyphens/>
              <w:jc w:val="center"/>
              <w:rPr>
                <w:sz w:val="20"/>
              </w:rPr>
            </w:pPr>
          </w:p>
          <w:p w14:paraId="794555BE" w14:textId="77777777" w:rsidR="00256DAA" w:rsidRPr="00371CD1" w:rsidRDefault="00256DAA" w:rsidP="00256DAA">
            <w:pPr>
              <w:suppressAutoHyphens/>
              <w:jc w:val="center"/>
              <w:rPr>
                <w:sz w:val="20"/>
              </w:rPr>
            </w:pPr>
            <w:r w:rsidRPr="00371CD1">
              <w:rPr>
                <w:sz w:val="20"/>
              </w:rPr>
              <w:t>$</w:t>
            </w:r>
            <w:r>
              <w:rPr>
                <w:sz w:val="20"/>
              </w:rPr>
              <w:t>37,980</w:t>
            </w:r>
          </w:p>
        </w:tc>
      </w:tr>
      <w:tr w:rsidR="00256DAA" w:rsidRPr="00371CD1" w14:paraId="771D4F51" w14:textId="77777777" w:rsidTr="00DC4661">
        <w:tblPrEx>
          <w:tblCellMar>
            <w:top w:w="0" w:type="dxa"/>
            <w:bottom w:w="0" w:type="dxa"/>
          </w:tblCellMar>
        </w:tblPrEx>
        <w:tc>
          <w:tcPr>
            <w:tcW w:w="1188" w:type="dxa"/>
          </w:tcPr>
          <w:p w14:paraId="747DE71B" w14:textId="77777777" w:rsidR="00256DAA" w:rsidRDefault="00256DAA" w:rsidP="00DC4661">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p>
          <w:p w14:paraId="1D17EEC5" w14:textId="77777777" w:rsidR="00256DAA" w:rsidRPr="00955CDB" w:rsidRDefault="00256DAA" w:rsidP="00DC4661">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r w:rsidRPr="00955CDB">
              <w:rPr>
                <w:sz w:val="20"/>
              </w:rPr>
              <w:t>Outcome</w:t>
            </w:r>
          </w:p>
        </w:tc>
        <w:tc>
          <w:tcPr>
            <w:tcW w:w="3240" w:type="dxa"/>
            <w:gridSpan w:val="2"/>
            <w:vAlign w:val="bottom"/>
          </w:tcPr>
          <w:p w14:paraId="3A2FCE10" w14:textId="77777777" w:rsidR="00256DAA" w:rsidRDefault="00256DAA" w:rsidP="00DC4661">
            <w:pPr>
              <w:suppressAutoHyphens/>
              <w:rPr>
                <w:sz w:val="20"/>
              </w:rPr>
            </w:pPr>
          </w:p>
          <w:p w14:paraId="57011520" w14:textId="77777777" w:rsidR="00256DAA" w:rsidRPr="00955CDB" w:rsidRDefault="00256DAA" w:rsidP="00DC4661">
            <w:pPr>
              <w:suppressAutoHyphens/>
              <w:rPr>
                <w:sz w:val="20"/>
                <w:vertAlign w:val="superscript"/>
              </w:rPr>
            </w:pPr>
            <w:r w:rsidRPr="00955CDB">
              <w:rPr>
                <w:sz w:val="20"/>
              </w:rPr>
              <w:t>Ratio of the median salary of SU graduates (one year after graduation) to the median salary of the civilian workforce w/bachelor’s degrees</w:t>
            </w:r>
            <w:r>
              <w:rPr>
                <w:sz w:val="20"/>
                <w:vertAlign w:val="superscript"/>
              </w:rPr>
              <w:t>2</w:t>
            </w:r>
          </w:p>
        </w:tc>
        <w:tc>
          <w:tcPr>
            <w:tcW w:w="1062" w:type="dxa"/>
          </w:tcPr>
          <w:p w14:paraId="5F945A3E" w14:textId="77777777" w:rsidR="00256DAA" w:rsidRDefault="00256DAA" w:rsidP="00DC4661">
            <w:pPr>
              <w:suppressAutoHyphens/>
              <w:jc w:val="center"/>
              <w:rPr>
                <w:sz w:val="20"/>
              </w:rPr>
            </w:pPr>
          </w:p>
          <w:p w14:paraId="5956F2C2" w14:textId="77777777" w:rsidR="00256DAA" w:rsidRPr="002E076F" w:rsidRDefault="00256DAA" w:rsidP="00DC4661">
            <w:pPr>
              <w:suppressAutoHyphens/>
              <w:jc w:val="center"/>
              <w:rPr>
                <w:sz w:val="20"/>
              </w:rPr>
            </w:pPr>
            <w:r>
              <w:rPr>
                <w:sz w:val="20"/>
              </w:rPr>
              <w:t>.73</w:t>
            </w:r>
          </w:p>
        </w:tc>
        <w:tc>
          <w:tcPr>
            <w:tcW w:w="1080" w:type="dxa"/>
          </w:tcPr>
          <w:p w14:paraId="77ABEE70" w14:textId="77777777" w:rsidR="00256DAA" w:rsidRDefault="00256DAA" w:rsidP="00DC4661">
            <w:pPr>
              <w:suppressAutoHyphens/>
              <w:jc w:val="center"/>
              <w:rPr>
                <w:sz w:val="20"/>
              </w:rPr>
            </w:pPr>
          </w:p>
          <w:p w14:paraId="19E74975" w14:textId="77777777" w:rsidR="00256DAA" w:rsidRPr="002E076F" w:rsidRDefault="00256DAA" w:rsidP="00DC4661">
            <w:pPr>
              <w:suppressAutoHyphens/>
              <w:jc w:val="center"/>
              <w:rPr>
                <w:sz w:val="20"/>
              </w:rPr>
            </w:pPr>
            <w:r>
              <w:rPr>
                <w:sz w:val="20"/>
              </w:rPr>
              <w:t>.79</w:t>
            </w:r>
          </w:p>
        </w:tc>
        <w:tc>
          <w:tcPr>
            <w:tcW w:w="1170" w:type="dxa"/>
          </w:tcPr>
          <w:p w14:paraId="58F9D044" w14:textId="77777777" w:rsidR="00256DAA" w:rsidRPr="00FD4531" w:rsidRDefault="00256DAA" w:rsidP="00DC4661">
            <w:pPr>
              <w:suppressAutoHyphens/>
              <w:jc w:val="center"/>
              <w:rPr>
                <w:sz w:val="20"/>
              </w:rPr>
            </w:pPr>
          </w:p>
          <w:p w14:paraId="02B7947A" w14:textId="77777777" w:rsidR="00256DAA" w:rsidRPr="002E076F" w:rsidRDefault="00256DAA" w:rsidP="00DC4661">
            <w:pPr>
              <w:suppressAutoHyphens/>
              <w:jc w:val="center"/>
              <w:rPr>
                <w:sz w:val="20"/>
              </w:rPr>
            </w:pPr>
            <w:r>
              <w:rPr>
                <w:sz w:val="20"/>
              </w:rPr>
              <w:t>.82</w:t>
            </w:r>
          </w:p>
        </w:tc>
        <w:tc>
          <w:tcPr>
            <w:tcW w:w="1170" w:type="dxa"/>
          </w:tcPr>
          <w:p w14:paraId="57C7C2A4" w14:textId="77777777" w:rsidR="00256DAA" w:rsidRPr="00FD4531" w:rsidRDefault="00256DAA" w:rsidP="00DC4661">
            <w:pPr>
              <w:suppressAutoHyphens/>
              <w:jc w:val="center"/>
              <w:rPr>
                <w:sz w:val="20"/>
              </w:rPr>
            </w:pPr>
          </w:p>
          <w:p w14:paraId="258301DF" w14:textId="77777777" w:rsidR="00256DAA" w:rsidRPr="00FD4531" w:rsidRDefault="00256DAA" w:rsidP="00DC4661">
            <w:pPr>
              <w:suppressAutoHyphens/>
              <w:jc w:val="center"/>
              <w:rPr>
                <w:sz w:val="20"/>
              </w:rPr>
            </w:pPr>
            <w:r>
              <w:rPr>
                <w:sz w:val="20"/>
              </w:rPr>
              <w:t>.84</w:t>
            </w:r>
          </w:p>
        </w:tc>
        <w:tc>
          <w:tcPr>
            <w:tcW w:w="1170" w:type="dxa"/>
          </w:tcPr>
          <w:p w14:paraId="2DEB8EE5" w14:textId="77777777" w:rsidR="00256DAA" w:rsidRPr="00371CD1" w:rsidRDefault="00256DAA" w:rsidP="00DC4661">
            <w:pPr>
              <w:suppressAutoHyphens/>
              <w:jc w:val="center"/>
              <w:rPr>
                <w:sz w:val="20"/>
              </w:rPr>
            </w:pPr>
          </w:p>
          <w:p w14:paraId="40D5BA96" w14:textId="77777777" w:rsidR="00256DAA" w:rsidRPr="00371CD1" w:rsidRDefault="00256DAA" w:rsidP="00DC4661">
            <w:pPr>
              <w:jc w:val="center"/>
              <w:rPr>
                <w:sz w:val="20"/>
              </w:rPr>
            </w:pPr>
            <w:r>
              <w:rPr>
                <w:sz w:val="20"/>
              </w:rPr>
              <w:t>.72</w:t>
            </w:r>
          </w:p>
        </w:tc>
        <w:tc>
          <w:tcPr>
            <w:tcW w:w="1170" w:type="dxa"/>
          </w:tcPr>
          <w:p w14:paraId="6263ECB3" w14:textId="77777777" w:rsidR="00256DAA" w:rsidRPr="00371CD1" w:rsidRDefault="00256DAA" w:rsidP="00DC4661">
            <w:pPr>
              <w:suppressAutoHyphens/>
              <w:jc w:val="center"/>
              <w:rPr>
                <w:sz w:val="20"/>
              </w:rPr>
            </w:pPr>
          </w:p>
          <w:p w14:paraId="2E7C718F" w14:textId="77777777" w:rsidR="00256DAA" w:rsidRPr="00371CD1" w:rsidRDefault="00256DAA" w:rsidP="00256DAA">
            <w:pPr>
              <w:suppressAutoHyphens/>
              <w:jc w:val="center"/>
              <w:rPr>
                <w:sz w:val="20"/>
              </w:rPr>
            </w:pPr>
            <w:r>
              <w:rPr>
                <w:sz w:val="20"/>
              </w:rPr>
              <w:t>.77</w:t>
            </w:r>
          </w:p>
        </w:tc>
      </w:tr>
    </w:tbl>
    <w:p w14:paraId="3A78C47F" w14:textId="77777777" w:rsidR="00256DAA" w:rsidRDefault="00256DAA" w:rsidP="00FF5EFE">
      <w:pPr>
        <w:rPr>
          <w:b/>
          <w:bCs/>
          <w:sz w:val="20"/>
        </w:rPr>
      </w:pPr>
    </w:p>
    <w:p w14:paraId="46170F88" w14:textId="77777777" w:rsidR="00256DAA" w:rsidRDefault="00256DAA" w:rsidP="00FF5EFE">
      <w:pPr>
        <w:rPr>
          <w:b/>
          <w:bCs/>
          <w:sz w:val="20"/>
        </w:rPr>
      </w:pPr>
    </w:p>
    <w:p w14:paraId="7DBBB49C" w14:textId="77777777" w:rsidR="00256DAA" w:rsidRDefault="00256DAA" w:rsidP="00FF5EFE">
      <w:pPr>
        <w:rPr>
          <w:b/>
          <w:bCs/>
          <w:sz w:val="20"/>
        </w:rPr>
      </w:pPr>
    </w:p>
    <w:p w14:paraId="250CCD91" w14:textId="77777777" w:rsidR="00256DAA" w:rsidRDefault="00256DAA" w:rsidP="00FF5EFE">
      <w:pPr>
        <w:rPr>
          <w:b/>
          <w:bCs/>
          <w:sz w:val="20"/>
        </w:rPr>
      </w:pPr>
    </w:p>
    <w:p w14:paraId="7737081E" w14:textId="77777777" w:rsidR="00256DAA" w:rsidRDefault="00256DAA" w:rsidP="00FF5EFE">
      <w:pPr>
        <w:rPr>
          <w:b/>
          <w:bCs/>
          <w:sz w:val="20"/>
        </w:rPr>
      </w:pPr>
    </w:p>
    <w:p w14:paraId="153F5BF0" w14:textId="77777777" w:rsidR="00256DAA" w:rsidRDefault="00256DAA" w:rsidP="00FF5EFE">
      <w:pPr>
        <w:rPr>
          <w:b/>
          <w:bCs/>
          <w:sz w:val="20"/>
        </w:rPr>
      </w:pPr>
    </w:p>
    <w:p w14:paraId="3AB6D58A" w14:textId="77777777" w:rsidR="00256DAA" w:rsidRDefault="00256DAA" w:rsidP="00FF5EFE">
      <w:pPr>
        <w:rPr>
          <w:b/>
          <w:bCs/>
          <w:sz w:val="20"/>
        </w:rPr>
      </w:pPr>
    </w:p>
    <w:p w14:paraId="132AD053" w14:textId="77777777" w:rsidR="00256DAA" w:rsidRDefault="00256DAA" w:rsidP="00FF5EFE">
      <w:pPr>
        <w:rPr>
          <w:b/>
          <w:bCs/>
          <w:sz w:val="20"/>
        </w:rPr>
      </w:pPr>
    </w:p>
    <w:p w14:paraId="6C86B4AD" w14:textId="77777777" w:rsidR="00256DAA" w:rsidRDefault="00256DAA" w:rsidP="00FF5EFE">
      <w:pPr>
        <w:rPr>
          <w:b/>
          <w:bCs/>
          <w:sz w:val="20"/>
        </w:rPr>
      </w:pPr>
    </w:p>
    <w:p w14:paraId="06CE375A" w14:textId="77777777" w:rsidR="00256DAA" w:rsidRDefault="00256DAA" w:rsidP="00FF5EFE">
      <w:pPr>
        <w:rPr>
          <w:b/>
          <w:bCs/>
          <w:sz w:val="20"/>
        </w:rPr>
      </w:pPr>
    </w:p>
    <w:p w14:paraId="302E3DC1" w14:textId="77777777" w:rsidR="00256DAA" w:rsidRDefault="00256DAA" w:rsidP="00FF5EFE">
      <w:pPr>
        <w:rPr>
          <w:b/>
          <w:bCs/>
          <w:sz w:val="20"/>
        </w:rPr>
      </w:pPr>
    </w:p>
    <w:p w14:paraId="7903E895" w14:textId="77777777" w:rsidR="00256DAA" w:rsidRDefault="00256DAA" w:rsidP="00FF5EFE">
      <w:pPr>
        <w:rPr>
          <w:b/>
          <w:bCs/>
          <w:sz w:val="20"/>
        </w:rPr>
      </w:pPr>
    </w:p>
    <w:p w14:paraId="25FE834F" w14:textId="77777777" w:rsidR="00823514" w:rsidRDefault="00823514" w:rsidP="00823514">
      <w:pPr>
        <w:rPr>
          <w:sz w:val="20"/>
        </w:rPr>
      </w:pPr>
    </w:p>
    <w:tbl>
      <w:tblPr>
        <w:tblpPr w:leftFromText="180" w:rightFromText="180" w:vertAnchor="text" w:horzAnchor="margin" w:tblpX="468" w:tblpY="62"/>
        <w:tblW w:w="11250" w:type="dxa"/>
        <w:tblLayout w:type="fixed"/>
        <w:tblLook w:val="0000" w:firstRow="0" w:lastRow="0" w:firstColumn="0" w:lastColumn="0" w:noHBand="0" w:noVBand="0"/>
      </w:tblPr>
      <w:tblGrid>
        <w:gridCol w:w="1188"/>
        <w:gridCol w:w="3240"/>
        <w:gridCol w:w="1062"/>
        <w:gridCol w:w="1080"/>
        <w:gridCol w:w="1170"/>
        <w:gridCol w:w="1170"/>
        <w:gridCol w:w="1170"/>
        <w:gridCol w:w="1170"/>
        <w:tblGridChange w:id="0">
          <w:tblGrid>
            <w:gridCol w:w="1188"/>
            <w:gridCol w:w="3240"/>
            <w:gridCol w:w="1062"/>
            <w:gridCol w:w="1080"/>
            <w:gridCol w:w="1170"/>
            <w:gridCol w:w="1170"/>
            <w:gridCol w:w="1170"/>
            <w:gridCol w:w="1170"/>
          </w:tblGrid>
        </w:tblGridChange>
      </w:tblGrid>
      <w:tr w:rsidR="0035631A" w:rsidRPr="00955CDB" w14:paraId="0610C3B7" w14:textId="77777777" w:rsidTr="00F457E6">
        <w:tblPrEx>
          <w:tblCellMar>
            <w:top w:w="0" w:type="dxa"/>
            <w:bottom w:w="0" w:type="dxa"/>
          </w:tblCellMar>
        </w:tblPrEx>
        <w:tc>
          <w:tcPr>
            <w:tcW w:w="1188" w:type="dxa"/>
          </w:tcPr>
          <w:p w14:paraId="300025D2" w14:textId="77777777" w:rsidR="0035631A" w:rsidRDefault="0035631A" w:rsidP="0035631A">
            <w:pPr>
              <w:widowControl/>
              <w:rPr>
                <w:sz w:val="20"/>
              </w:rPr>
            </w:pPr>
          </w:p>
        </w:tc>
        <w:tc>
          <w:tcPr>
            <w:tcW w:w="3240" w:type="dxa"/>
            <w:vAlign w:val="bottom"/>
          </w:tcPr>
          <w:p w14:paraId="10B7C501" w14:textId="77777777" w:rsidR="0035631A" w:rsidRDefault="0035631A" w:rsidP="0035631A">
            <w:pPr>
              <w:suppressAutoHyphens/>
              <w:rPr>
                <w:sz w:val="20"/>
              </w:rPr>
            </w:pPr>
          </w:p>
        </w:tc>
        <w:tc>
          <w:tcPr>
            <w:tcW w:w="1062" w:type="dxa"/>
            <w:vAlign w:val="bottom"/>
          </w:tcPr>
          <w:p w14:paraId="750D776D" w14:textId="77777777" w:rsidR="0035631A" w:rsidRPr="003A2144" w:rsidRDefault="0035631A" w:rsidP="0035631A">
            <w:pPr>
              <w:tabs>
                <w:tab w:val="left" w:pos="285"/>
                <w:tab w:val="center" w:pos="598"/>
              </w:tabs>
              <w:suppressAutoHyphens/>
              <w:jc w:val="center"/>
              <w:rPr>
                <w:b/>
                <w:color w:val="0000FF"/>
                <w:sz w:val="20"/>
              </w:rPr>
            </w:pPr>
            <w:r>
              <w:rPr>
                <w:b/>
                <w:sz w:val="20"/>
              </w:rPr>
              <w:t xml:space="preserve">2009 </w:t>
            </w:r>
            <w:r w:rsidRPr="003A2144">
              <w:rPr>
                <w:b/>
                <w:sz w:val="20"/>
              </w:rPr>
              <w:t>Actual</w:t>
            </w:r>
          </w:p>
        </w:tc>
        <w:tc>
          <w:tcPr>
            <w:tcW w:w="1080" w:type="dxa"/>
            <w:vAlign w:val="bottom"/>
          </w:tcPr>
          <w:p w14:paraId="20AB760E" w14:textId="77777777" w:rsidR="0035631A" w:rsidRPr="003A2144" w:rsidRDefault="0035631A" w:rsidP="0035631A">
            <w:pPr>
              <w:tabs>
                <w:tab w:val="left" w:pos="285"/>
                <w:tab w:val="center" w:pos="598"/>
              </w:tabs>
              <w:suppressAutoHyphens/>
              <w:jc w:val="center"/>
              <w:rPr>
                <w:b/>
                <w:color w:val="0000FF"/>
                <w:sz w:val="20"/>
              </w:rPr>
            </w:pPr>
            <w:r>
              <w:rPr>
                <w:b/>
                <w:sz w:val="20"/>
              </w:rPr>
              <w:t xml:space="preserve">2010 </w:t>
            </w:r>
            <w:r w:rsidRPr="003A2144">
              <w:rPr>
                <w:b/>
                <w:sz w:val="20"/>
              </w:rPr>
              <w:t>Actual</w:t>
            </w:r>
          </w:p>
        </w:tc>
        <w:tc>
          <w:tcPr>
            <w:tcW w:w="1170" w:type="dxa"/>
          </w:tcPr>
          <w:p w14:paraId="6CDCA876" w14:textId="77777777" w:rsidR="0035631A" w:rsidRPr="00986C2B" w:rsidRDefault="0035631A" w:rsidP="0035631A">
            <w:pPr>
              <w:tabs>
                <w:tab w:val="left" w:pos="285"/>
                <w:tab w:val="center" w:pos="598"/>
              </w:tabs>
              <w:suppressAutoHyphens/>
              <w:jc w:val="center"/>
              <w:rPr>
                <w:b/>
                <w:sz w:val="20"/>
              </w:rPr>
            </w:pPr>
            <w:r w:rsidRPr="006A3D5E">
              <w:rPr>
                <w:b/>
                <w:sz w:val="20"/>
              </w:rPr>
              <w:t xml:space="preserve">2011 </w:t>
            </w:r>
            <w:r>
              <w:rPr>
                <w:b/>
                <w:sz w:val="20"/>
              </w:rPr>
              <w:t>Actual</w:t>
            </w:r>
          </w:p>
        </w:tc>
        <w:tc>
          <w:tcPr>
            <w:tcW w:w="1170" w:type="dxa"/>
          </w:tcPr>
          <w:p w14:paraId="6837AB9A" w14:textId="77777777" w:rsidR="0035631A" w:rsidRPr="00986C2B" w:rsidRDefault="0035631A" w:rsidP="004B3D30">
            <w:pPr>
              <w:tabs>
                <w:tab w:val="left" w:pos="285"/>
                <w:tab w:val="center" w:pos="598"/>
              </w:tabs>
              <w:suppressAutoHyphens/>
              <w:jc w:val="center"/>
              <w:rPr>
                <w:b/>
                <w:sz w:val="20"/>
              </w:rPr>
            </w:pPr>
            <w:r>
              <w:rPr>
                <w:b/>
                <w:sz w:val="20"/>
              </w:rPr>
              <w:t>2012</w:t>
            </w:r>
            <w:r w:rsidRPr="00986C2B">
              <w:rPr>
                <w:b/>
                <w:sz w:val="20"/>
              </w:rPr>
              <w:t xml:space="preserve"> </w:t>
            </w:r>
            <w:r w:rsidR="004B3D30">
              <w:rPr>
                <w:b/>
                <w:sz w:val="20"/>
              </w:rPr>
              <w:t>Actual</w:t>
            </w:r>
          </w:p>
        </w:tc>
        <w:tc>
          <w:tcPr>
            <w:tcW w:w="1170" w:type="dxa"/>
          </w:tcPr>
          <w:p w14:paraId="3ABF3326" w14:textId="77777777" w:rsidR="0035631A" w:rsidRPr="00986C2B" w:rsidRDefault="0035631A" w:rsidP="0035631A">
            <w:pPr>
              <w:tabs>
                <w:tab w:val="left" w:pos="285"/>
                <w:tab w:val="center" w:pos="598"/>
              </w:tabs>
              <w:suppressAutoHyphens/>
              <w:jc w:val="center"/>
              <w:rPr>
                <w:b/>
                <w:sz w:val="20"/>
              </w:rPr>
            </w:pPr>
            <w:r>
              <w:rPr>
                <w:b/>
                <w:sz w:val="20"/>
              </w:rPr>
              <w:t>2013</w:t>
            </w:r>
            <w:r w:rsidRPr="00986C2B">
              <w:rPr>
                <w:b/>
                <w:sz w:val="20"/>
              </w:rPr>
              <w:t xml:space="preserve"> Estimated</w:t>
            </w:r>
          </w:p>
        </w:tc>
        <w:tc>
          <w:tcPr>
            <w:tcW w:w="1170" w:type="dxa"/>
          </w:tcPr>
          <w:p w14:paraId="541A0A7A" w14:textId="77777777" w:rsidR="0035631A" w:rsidRPr="00986C2B" w:rsidRDefault="0035631A" w:rsidP="0035631A">
            <w:pPr>
              <w:tabs>
                <w:tab w:val="left" w:pos="285"/>
                <w:tab w:val="center" w:pos="598"/>
              </w:tabs>
              <w:suppressAutoHyphens/>
              <w:jc w:val="center"/>
              <w:rPr>
                <w:b/>
                <w:sz w:val="20"/>
              </w:rPr>
            </w:pPr>
            <w:r>
              <w:rPr>
                <w:b/>
                <w:sz w:val="20"/>
              </w:rPr>
              <w:t>2014 Estimated</w:t>
            </w:r>
          </w:p>
        </w:tc>
      </w:tr>
      <w:tr w:rsidR="0035631A" w:rsidRPr="00955CDB" w14:paraId="1942215E" w14:textId="77777777" w:rsidTr="00F457E6">
        <w:tblPrEx>
          <w:tblCellMar>
            <w:top w:w="0" w:type="dxa"/>
            <w:bottom w:w="0" w:type="dxa"/>
          </w:tblCellMar>
        </w:tblPrEx>
        <w:tc>
          <w:tcPr>
            <w:tcW w:w="1188" w:type="dxa"/>
          </w:tcPr>
          <w:p w14:paraId="4C30EB58" w14:textId="77777777" w:rsidR="0035631A" w:rsidRDefault="0035631A" w:rsidP="0035631A">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p>
          <w:p w14:paraId="0BC15ABA" w14:textId="77777777" w:rsidR="0035631A" w:rsidRPr="00955CDB" w:rsidRDefault="0035631A" w:rsidP="0035631A">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r>
              <w:rPr>
                <w:sz w:val="20"/>
              </w:rPr>
              <w:t>Input</w:t>
            </w:r>
          </w:p>
        </w:tc>
        <w:tc>
          <w:tcPr>
            <w:tcW w:w="3240" w:type="dxa"/>
            <w:vAlign w:val="bottom"/>
          </w:tcPr>
          <w:p w14:paraId="13C23730" w14:textId="77777777" w:rsidR="0035631A" w:rsidRDefault="0035631A" w:rsidP="0035631A">
            <w:pPr>
              <w:suppressAutoHyphens/>
              <w:rPr>
                <w:sz w:val="20"/>
              </w:rPr>
            </w:pPr>
          </w:p>
          <w:p w14:paraId="1CCBE6F5" w14:textId="77777777" w:rsidR="0035631A" w:rsidRPr="00955CDB" w:rsidRDefault="0035631A" w:rsidP="0035631A">
            <w:pPr>
              <w:suppressAutoHyphens/>
              <w:rPr>
                <w:sz w:val="20"/>
              </w:rPr>
            </w:pPr>
            <w:r>
              <w:rPr>
                <w:sz w:val="20"/>
              </w:rPr>
              <w:t>Number of applicants to the professional nursing program</w:t>
            </w:r>
          </w:p>
        </w:tc>
        <w:tc>
          <w:tcPr>
            <w:tcW w:w="1062" w:type="dxa"/>
            <w:vAlign w:val="center"/>
          </w:tcPr>
          <w:p w14:paraId="55681986" w14:textId="77777777" w:rsidR="0035631A" w:rsidRPr="00E5177D" w:rsidRDefault="0035631A" w:rsidP="0035631A">
            <w:pPr>
              <w:suppressAutoHyphens/>
              <w:jc w:val="center"/>
              <w:rPr>
                <w:sz w:val="20"/>
              </w:rPr>
            </w:pPr>
            <w:r>
              <w:rPr>
                <w:sz w:val="16"/>
                <w:szCs w:val="16"/>
              </w:rPr>
              <w:t>195</w:t>
            </w:r>
          </w:p>
        </w:tc>
        <w:tc>
          <w:tcPr>
            <w:tcW w:w="1080" w:type="dxa"/>
            <w:vAlign w:val="center"/>
          </w:tcPr>
          <w:p w14:paraId="15A7FF53" w14:textId="77777777" w:rsidR="0035631A" w:rsidRPr="00F600C0" w:rsidRDefault="0035631A" w:rsidP="0035631A">
            <w:pPr>
              <w:suppressAutoHyphens/>
              <w:jc w:val="center"/>
              <w:rPr>
                <w:sz w:val="16"/>
                <w:szCs w:val="16"/>
              </w:rPr>
            </w:pPr>
            <w:r>
              <w:rPr>
                <w:sz w:val="16"/>
                <w:szCs w:val="16"/>
              </w:rPr>
              <w:t>224</w:t>
            </w:r>
          </w:p>
        </w:tc>
        <w:tc>
          <w:tcPr>
            <w:tcW w:w="1170" w:type="dxa"/>
          </w:tcPr>
          <w:p w14:paraId="68FADE3A" w14:textId="77777777" w:rsidR="0035631A" w:rsidRDefault="0035631A" w:rsidP="0035631A">
            <w:pPr>
              <w:suppressAutoHyphens/>
              <w:jc w:val="center"/>
              <w:rPr>
                <w:color w:val="0000FF"/>
                <w:sz w:val="20"/>
              </w:rPr>
            </w:pPr>
          </w:p>
          <w:p w14:paraId="7B2C576B" w14:textId="77777777" w:rsidR="0035631A" w:rsidRPr="00A94C72" w:rsidRDefault="0035631A" w:rsidP="0035631A">
            <w:pPr>
              <w:suppressAutoHyphens/>
              <w:jc w:val="center"/>
              <w:rPr>
                <w:sz w:val="20"/>
              </w:rPr>
            </w:pPr>
            <w:r>
              <w:rPr>
                <w:sz w:val="20"/>
              </w:rPr>
              <w:t>236</w:t>
            </w:r>
          </w:p>
        </w:tc>
        <w:tc>
          <w:tcPr>
            <w:tcW w:w="1170" w:type="dxa"/>
          </w:tcPr>
          <w:p w14:paraId="6F22A9D7" w14:textId="77777777" w:rsidR="0035631A" w:rsidRDefault="0035631A" w:rsidP="0035631A">
            <w:pPr>
              <w:suppressAutoHyphens/>
              <w:jc w:val="center"/>
              <w:rPr>
                <w:color w:val="0000FF"/>
                <w:sz w:val="20"/>
              </w:rPr>
            </w:pPr>
          </w:p>
          <w:p w14:paraId="1FDA949E" w14:textId="77777777" w:rsidR="0035631A" w:rsidRPr="001C24D3" w:rsidRDefault="0035631A" w:rsidP="0035631A">
            <w:pPr>
              <w:suppressAutoHyphens/>
              <w:jc w:val="center"/>
              <w:rPr>
                <w:sz w:val="20"/>
              </w:rPr>
            </w:pPr>
            <w:r>
              <w:rPr>
                <w:sz w:val="20"/>
              </w:rPr>
              <w:t>248</w:t>
            </w:r>
          </w:p>
        </w:tc>
        <w:tc>
          <w:tcPr>
            <w:tcW w:w="1170" w:type="dxa"/>
          </w:tcPr>
          <w:p w14:paraId="1F844073" w14:textId="77777777" w:rsidR="0035631A" w:rsidRDefault="0035631A" w:rsidP="0035631A">
            <w:pPr>
              <w:suppressAutoHyphens/>
              <w:jc w:val="center"/>
              <w:rPr>
                <w:sz w:val="20"/>
              </w:rPr>
            </w:pPr>
          </w:p>
          <w:p w14:paraId="2FA94775" w14:textId="77777777" w:rsidR="0035631A" w:rsidRPr="001C24D3" w:rsidRDefault="0035631A" w:rsidP="0035631A">
            <w:pPr>
              <w:suppressAutoHyphens/>
              <w:jc w:val="center"/>
              <w:rPr>
                <w:sz w:val="20"/>
              </w:rPr>
            </w:pPr>
            <w:r>
              <w:rPr>
                <w:sz w:val="20"/>
              </w:rPr>
              <w:t>2</w:t>
            </w:r>
            <w:r w:rsidR="004B3D30">
              <w:rPr>
                <w:sz w:val="20"/>
              </w:rPr>
              <w:t>41</w:t>
            </w:r>
          </w:p>
        </w:tc>
        <w:tc>
          <w:tcPr>
            <w:tcW w:w="1170" w:type="dxa"/>
          </w:tcPr>
          <w:p w14:paraId="0C271884" w14:textId="77777777" w:rsidR="0035631A" w:rsidRDefault="0035631A" w:rsidP="0035631A">
            <w:pPr>
              <w:suppressAutoHyphens/>
              <w:jc w:val="center"/>
              <w:rPr>
                <w:sz w:val="20"/>
              </w:rPr>
            </w:pPr>
          </w:p>
          <w:p w14:paraId="52E43E98" w14:textId="77777777" w:rsidR="004B3D30" w:rsidRPr="001C24D3" w:rsidRDefault="004B3D30" w:rsidP="0035631A">
            <w:pPr>
              <w:suppressAutoHyphens/>
              <w:jc w:val="center"/>
              <w:rPr>
                <w:sz w:val="20"/>
              </w:rPr>
            </w:pPr>
            <w:r>
              <w:rPr>
                <w:sz w:val="20"/>
              </w:rPr>
              <w:t>245</w:t>
            </w:r>
          </w:p>
        </w:tc>
      </w:tr>
      <w:tr w:rsidR="0035631A" w:rsidRPr="00955CDB" w14:paraId="6454CE3B" w14:textId="77777777" w:rsidTr="00F457E6">
        <w:tblPrEx>
          <w:tblCellMar>
            <w:top w:w="0" w:type="dxa"/>
            <w:bottom w:w="0" w:type="dxa"/>
          </w:tblCellMar>
        </w:tblPrEx>
        <w:trPr>
          <w:trHeight w:val="540"/>
        </w:trPr>
        <w:tc>
          <w:tcPr>
            <w:tcW w:w="1188" w:type="dxa"/>
          </w:tcPr>
          <w:p w14:paraId="1906C5F4" w14:textId="77777777" w:rsidR="0035631A" w:rsidRDefault="0035631A" w:rsidP="0035631A">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p>
          <w:p w14:paraId="33E4DAF6" w14:textId="77777777" w:rsidR="0035631A" w:rsidRDefault="0035631A" w:rsidP="0035631A">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r>
              <w:rPr>
                <w:sz w:val="20"/>
              </w:rPr>
              <w:t>Input</w:t>
            </w:r>
          </w:p>
        </w:tc>
        <w:tc>
          <w:tcPr>
            <w:tcW w:w="3240" w:type="dxa"/>
            <w:vAlign w:val="bottom"/>
          </w:tcPr>
          <w:p w14:paraId="6DB0E77B" w14:textId="77777777" w:rsidR="0035631A" w:rsidRDefault="0035631A" w:rsidP="0035631A">
            <w:pPr>
              <w:suppressAutoHyphens/>
              <w:rPr>
                <w:sz w:val="20"/>
              </w:rPr>
            </w:pPr>
          </w:p>
          <w:p w14:paraId="36AD4AE7" w14:textId="77777777" w:rsidR="0035631A" w:rsidRDefault="0035631A" w:rsidP="0035631A">
            <w:pPr>
              <w:suppressAutoHyphens/>
              <w:rPr>
                <w:sz w:val="20"/>
              </w:rPr>
            </w:pPr>
            <w:r>
              <w:rPr>
                <w:sz w:val="20"/>
              </w:rPr>
              <w:t>Number of applicants accepted into the professional nursing program</w:t>
            </w:r>
          </w:p>
        </w:tc>
        <w:tc>
          <w:tcPr>
            <w:tcW w:w="1062" w:type="dxa"/>
            <w:vAlign w:val="center"/>
          </w:tcPr>
          <w:p w14:paraId="311F4514" w14:textId="77777777" w:rsidR="0035631A" w:rsidRPr="00E5177D" w:rsidRDefault="0035631A" w:rsidP="0035631A">
            <w:pPr>
              <w:suppressAutoHyphens/>
              <w:jc w:val="center"/>
              <w:rPr>
                <w:sz w:val="20"/>
              </w:rPr>
            </w:pPr>
            <w:r>
              <w:rPr>
                <w:sz w:val="16"/>
                <w:szCs w:val="16"/>
              </w:rPr>
              <w:t>91</w:t>
            </w:r>
          </w:p>
        </w:tc>
        <w:tc>
          <w:tcPr>
            <w:tcW w:w="1080" w:type="dxa"/>
            <w:vAlign w:val="center"/>
          </w:tcPr>
          <w:p w14:paraId="17A9DCD8" w14:textId="77777777" w:rsidR="0035631A" w:rsidRPr="00F600C0" w:rsidRDefault="0035631A" w:rsidP="0035631A">
            <w:pPr>
              <w:suppressAutoHyphens/>
              <w:jc w:val="center"/>
              <w:rPr>
                <w:sz w:val="16"/>
                <w:szCs w:val="16"/>
              </w:rPr>
            </w:pPr>
            <w:r>
              <w:rPr>
                <w:sz w:val="16"/>
                <w:szCs w:val="16"/>
              </w:rPr>
              <w:t>95</w:t>
            </w:r>
          </w:p>
        </w:tc>
        <w:tc>
          <w:tcPr>
            <w:tcW w:w="1170" w:type="dxa"/>
          </w:tcPr>
          <w:p w14:paraId="6A8A165E" w14:textId="77777777" w:rsidR="0035631A" w:rsidRDefault="0035631A" w:rsidP="0035631A">
            <w:pPr>
              <w:suppressAutoHyphens/>
              <w:jc w:val="center"/>
              <w:rPr>
                <w:sz w:val="20"/>
              </w:rPr>
            </w:pPr>
          </w:p>
          <w:p w14:paraId="4E89146D" w14:textId="77777777" w:rsidR="0035631A" w:rsidRPr="00A94C72" w:rsidRDefault="0035631A" w:rsidP="0035631A">
            <w:pPr>
              <w:jc w:val="center"/>
              <w:rPr>
                <w:sz w:val="20"/>
              </w:rPr>
            </w:pPr>
            <w:r>
              <w:rPr>
                <w:sz w:val="20"/>
              </w:rPr>
              <w:t>96</w:t>
            </w:r>
          </w:p>
        </w:tc>
        <w:tc>
          <w:tcPr>
            <w:tcW w:w="1170" w:type="dxa"/>
          </w:tcPr>
          <w:p w14:paraId="7BE1723C" w14:textId="77777777" w:rsidR="0035631A" w:rsidRDefault="0035631A" w:rsidP="0035631A">
            <w:pPr>
              <w:suppressAutoHyphens/>
              <w:jc w:val="center"/>
              <w:rPr>
                <w:sz w:val="20"/>
              </w:rPr>
            </w:pPr>
          </w:p>
          <w:p w14:paraId="12E8636F" w14:textId="77777777" w:rsidR="0035631A" w:rsidRPr="006E2A4B" w:rsidRDefault="004B3D30" w:rsidP="0035631A">
            <w:pPr>
              <w:suppressAutoHyphens/>
              <w:jc w:val="center"/>
              <w:rPr>
                <w:sz w:val="20"/>
              </w:rPr>
            </w:pPr>
            <w:r>
              <w:rPr>
                <w:sz w:val="20"/>
              </w:rPr>
              <w:t>104</w:t>
            </w:r>
          </w:p>
        </w:tc>
        <w:tc>
          <w:tcPr>
            <w:tcW w:w="1170" w:type="dxa"/>
          </w:tcPr>
          <w:p w14:paraId="783B41B5" w14:textId="77777777" w:rsidR="0035631A" w:rsidRDefault="0035631A" w:rsidP="0035631A">
            <w:pPr>
              <w:suppressAutoHyphens/>
              <w:jc w:val="center"/>
              <w:rPr>
                <w:sz w:val="20"/>
              </w:rPr>
            </w:pPr>
          </w:p>
          <w:p w14:paraId="1454B94A" w14:textId="77777777" w:rsidR="0035631A" w:rsidRPr="006E2A4B" w:rsidRDefault="004B3D30" w:rsidP="0035631A">
            <w:pPr>
              <w:suppressAutoHyphens/>
              <w:jc w:val="center"/>
              <w:rPr>
                <w:sz w:val="20"/>
              </w:rPr>
            </w:pPr>
            <w:r>
              <w:rPr>
                <w:sz w:val="20"/>
              </w:rPr>
              <w:t>102</w:t>
            </w:r>
          </w:p>
        </w:tc>
        <w:tc>
          <w:tcPr>
            <w:tcW w:w="1170" w:type="dxa"/>
          </w:tcPr>
          <w:p w14:paraId="1154FB2A" w14:textId="77777777" w:rsidR="004B3D30" w:rsidRDefault="004B3D30" w:rsidP="0035631A">
            <w:pPr>
              <w:suppressAutoHyphens/>
              <w:jc w:val="center"/>
              <w:rPr>
                <w:sz w:val="20"/>
              </w:rPr>
            </w:pPr>
          </w:p>
          <w:p w14:paraId="04344557" w14:textId="77777777" w:rsidR="0035631A" w:rsidRPr="006E2A4B" w:rsidRDefault="004B3D30" w:rsidP="0035631A">
            <w:pPr>
              <w:suppressAutoHyphens/>
              <w:jc w:val="center"/>
              <w:rPr>
                <w:sz w:val="20"/>
              </w:rPr>
            </w:pPr>
            <w:r>
              <w:rPr>
                <w:sz w:val="20"/>
              </w:rPr>
              <w:t>102</w:t>
            </w:r>
          </w:p>
        </w:tc>
      </w:tr>
      <w:tr w:rsidR="0035631A" w:rsidRPr="00955CDB" w14:paraId="36EE78E4" w14:textId="77777777" w:rsidTr="00F457E6">
        <w:tblPrEx>
          <w:tblCellMar>
            <w:top w:w="0" w:type="dxa"/>
            <w:bottom w:w="0" w:type="dxa"/>
          </w:tblCellMar>
        </w:tblPrEx>
        <w:tc>
          <w:tcPr>
            <w:tcW w:w="1188" w:type="dxa"/>
          </w:tcPr>
          <w:p w14:paraId="24788D0B" w14:textId="77777777" w:rsidR="0035631A" w:rsidRDefault="0035631A" w:rsidP="0035631A">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p>
          <w:p w14:paraId="3FC7B025" w14:textId="77777777" w:rsidR="0035631A" w:rsidRDefault="0035631A" w:rsidP="0035631A">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r>
              <w:rPr>
                <w:sz w:val="20"/>
              </w:rPr>
              <w:t>Input</w:t>
            </w:r>
          </w:p>
        </w:tc>
        <w:tc>
          <w:tcPr>
            <w:tcW w:w="3240" w:type="dxa"/>
            <w:vAlign w:val="bottom"/>
          </w:tcPr>
          <w:p w14:paraId="6ABD4A6A" w14:textId="77777777" w:rsidR="0035631A" w:rsidRDefault="0035631A" w:rsidP="0035631A">
            <w:pPr>
              <w:suppressAutoHyphens/>
              <w:rPr>
                <w:sz w:val="20"/>
              </w:rPr>
            </w:pPr>
          </w:p>
          <w:p w14:paraId="7ADCAF94" w14:textId="77777777" w:rsidR="0035631A" w:rsidRDefault="0035631A" w:rsidP="0035631A">
            <w:pPr>
              <w:suppressAutoHyphens/>
              <w:rPr>
                <w:sz w:val="20"/>
              </w:rPr>
            </w:pPr>
            <w:r>
              <w:rPr>
                <w:sz w:val="20"/>
              </w:rPr>
              <w:t>Number of applicants not accepted into the professional nursing program</w:t>
            </w:r>
          </w:p>
        </w:tc>
        <w:tc>
          <w:tcPr>
            <w:tcW w:w="1062" w:type="dxa"/>
            <w:vAlign w:val="center"/>
          </w:tcPr>
          <w:p w14:paraId="7F48B041" w14:textId="77777777" w:rsidR="0035631A" w:rsidRPr="00E5177D" w:rsidRDefault="0035631A" w:rsidP="0035631A">
            <w:pPr>
              <w:suppressAutoHyphens/>
              <w:jc w:val="center"/>
              <w:rPr>
                <w:sz w:val="20"/>
              </w:rPr>
            </w:pPr>
            <w:r w:rsidRPr="002C006E">
              <w:rPr>
                <w:sz w:val="16"/>
                <w:szCs w:val="16"/>
              </w:rPr>
              <w:t>104</w:t>
            </w:r>
          </w:p>
        </w:tc>
        <w:tc>
          <w:tcPr>
            <w:tcW w:w="1080" w:type="dxa"/>
            <w:vAlign w:val="center"/>
          </w:tcPr>
          <w:p w14:paraId="229EB89B" w14:textId="77777777" w:rsidR="0035631A" w:rsidRPr="002C006E" w:rsidRDefault="0035631A" w:rsidP="0035631A">
            <w:pPr>
              <w:suppressAutoHyphens/>
              <w:jc w:val="center"/>
              <w:rPr>
                <w:sz w:val="16"/>
                <w:szCs w:val="16"/>
              </w:rPr>
            </w:pPr>
            <w:r>
              <w:rPr>
                <w:sz w:val="16"/>
                <w:szCs w:val="16"/>
              </w:rPr>
              <w:t>129</w:t>
            </w:r>
          </w:p>
        </w:tc>
        <w:tc>
          <w:tcPr>
            <w:tcW w:w="1170" w:type="dxa"/>
          </w:tcPr>
          <w:p w14:paraId="3E1CEA0D" w14:textId="77777777" w:rsidR="0035631A" w:rsidRDefault="0035631A" w:rsidP="0035631A">
            <w:pPr>
              <w:suppressAutoHyphens/>
              <w:jc w:val="center"/>
              <w:rPr>
                <w:sz w:val="20"/>
              </w:rPr>
            </w:pPr>
          </w:p>
          <w:p w14:paraId="764BC318" w14:textId="77777777" w:rsidR="0035631A" w:rsidRPr="00A94C72" w:rsidRDefault="0035631A" w:rsidP="0035631A">
            <w:pPr>
              <w:jc w:val="center"/>
              <w:rPr>
                <w:sz w:val="20"/>
              </w:rPr>
            </w:pPr>
            <w:r>
              <w:rPr>
                <w:sz w:val="20"/>
              </w:rPr>
              <w:t>140</w:t>
            </w:r>
          </w:p>
        </w:tc>
        <w:tc>
          <w:tcPr>
            <w:tcW w:w="1170" w:type="dxa"/>
          </w:tcPr>
          <w:p w14:paraId="53886FC5" w14:textId="77777777" w:rsidR="0035631A" w:rsidRDefault="0035631A" w:rsidP="0035631A">
            <w:pPr>
              <w:suppressAutoHyphens/>
              <w:jc w:val="center"/>
              <w:rPr>
                <w:sz w:val="20"/>
              </w:rPr>
            </w:pPr>
          </w:p>
          <w:p w14:paraId="3434C2BE" w14:textId="77777777" w:rsidR="0035631A" w:rsidRPr="006E2A4B" w:rsidRDefault="0035631A" w:rsidP="0035631A">
            <w:pPr>
              <w:suppressAutoHyphens/>
              <w:jc w:val="center"/>
              <w:rPr>
                <w:sz w:val="20"/>
              </w:rPr>
            </w:pPr>
            <w:r>
              <w:rPr>
                <w:sz w:val="20"/>
              </w:rPr>
              <w:t>1</w:t>
            </w:r>
            <w:r w:rsidR="001E1C8C">
              <w:rPr>
                <w:sz w:val="20"/>
              </w:rPr>
              <w:t>44</w:t>
            </w:r>
          </w:p>
        </w:tc>
        <w:tc>
          <w:tcPr>
            <w:tcW w:w="1170" w:type="dxa"/>
          </w:tcPr>
          <w:p w14:paraId="671FB542" w14:textId="77777777" w:rsidR="0035631A" w:rsidRDefault="0035631A" w:rsidP="0035631A">
            <w:pPr>
              <w:suppressAutoHyphens/>
              <w:jc w:val="center"/>
              <w:rPr>
                <w:sz w:val="20"/>
              </w:rPr>
            </w:pPr>
          </w:p>
          <w:p w14:paraId="467994B2" w14:textId="77777777" w:rsidR="0035631A" w:rsidRPr="006E2A4B" w:rsidRDefault="0035631A" w:rsidP="0035631A">
            <w:pPr>
              <w:suppressAutoHyphens/>
              <w:jc w:val="center"/>
              <w:rPr>
                <w:sz w:val="20"/>
              </w:rPr>
            </w:pPr>
            <w:r>
              <w:rPr>
                <w:sz w:val="20"/>
              </w:rPr>
              <w:t>1</w:t>
            </w:r>
            <w:r w:rsidR="004B3D30">
              <w:rPr>
                <w:sz w:val="20"/>
              </w:rPr>
              <w:t>39</w:t>
            </w:r>
          </w:p>
        </w:tc>
        <w:tc>
          <w:tcPr>
            <w:tcW w:w="1170" w:type="dxa"/>
          </w:tcPr>
          <w:p w14:paraId="414A43D6" w14:textId="77777777" w:rsidR="004B3D30" w:rsidRDefault="004B3D30" w:rsidP="0035631A">
            <w:pPr>
              <w:suppressAutoHyphens/>
              <w:jc w:val="center"/>
              <w:rPr>
                <w:sz w:val="20"/>
              </w:rPr>
            </w:pPr>
          </w:p>
          <w:p w14:paraId="5919340B" w14:textId="77777777" w:rsidR="0035631A" w:rsidRPr="006E2A4B" w:rsidRDefault="004B3D30" w:rsidP="0035631A">
            <w:pPr>
              <w:suppressAutoHyphens/>
              <w:jc w:val="center"/>
              <w:rPr>
                <w:sz w:val="20"/>
              </w:rPr>
            </w:pPr>
            <w:r>
              <w:rPr>
                <w:sz w:val="20"/>
              </w:rPr>
              <w:t>143</w:t>
            </w:r>
          </w:p>
        </w:tc>
      </w:tr>
      <w:tr w:rsidR="0035631A" w:rsidRPr="00955CDB" w14:paraId="6C9FF982" w14:textId="77777777" w:rsidTr="00F457E6">
        <w:tblPrEx>
          <w:tblCellMar>
            <w:top w:w="0" w:type="dxa"/>
            <w:bottom w:w="0" w:type="dxa"/>
          </w:tblCellMar>
        </w:tblPrEx>
        <w:tc>
          <w:tcPr>
            <w:tcW w:w="1188" w:type="dxa"/>
          </w:tcPr>
          <w:p w14:paraId="75A09612" w14:textId="77777777" w:rsidR="0035631A" w:rsidRDefault="0035631A" w:rsidP="0035631A">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p>
          <w:p w14:paraId="2CAA292D" w14:textId="77777777" w:rsidR="0035631A" w:rsidRDefault="0035631A" w:rsidP="0035631A">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r>
              <w:rPr>
                <w:sz w:val="20"/>
              </w:rPr>
              <w:t>Input</w:t>
            </w:r>
          </w:p>
        </w:tc>
        <w:tc>
          <w:tcPr>
            <w:tcW w:w="3240" w:type="dxa"/>
            <w:vAlign w:val="bottom"/>
          </w:tcPr>
          <w:p w14:paraId="16FA67E9" w14:textId="77777777" w:rsidR="0035631A" w:rsidRDefault="0035631A" w:rsidP="0035631A">
            <w:pPr>
              <w:suppressAutoHyphens/>
              <w:rPr>
                <w:sz w:val="20"/>
              </w:rPr>
            </w:pPr>
          </w:p>
          <w:p w14:paraId="1F7110D7" w14:textId="77777777" w:rsidR="0035631A" w:rsidRDefault="0035631A" w:rsidP="0035631A">
            <w:pPr>
              <w:suppressAutoHyphens/>
              <w:rPr>
                <w:sz w:val="20"/>
              </w:rPr>
            </w:pPr>
            <w:r>
              <w:rPr>
                <w:sz w:val="20"/>
              </w:rPr>
              <w:t>Number of applicants enrolled in the professional nursing program</w:t>
            </w:r>
          </w:p>
        </w:tc>
        <w:tc>
          <w:tcPr>
            <w:tcW w:w="1062" w:type="dxa"/>
            <w:vAlign w:val="center"/>
          </w:tcPr>
          <w:p w14:paraId="4F9FCE9D" w14:textId="77777777" w:rsidR="0035631A" w:rsidRPr="002E076F" w:rsidRDefault="0035631A" w:rsidP="0035631A">
            <w:pPr>
              <w:suppressAutoHyphens/>
              <w:jc w:val="center"/>
              <w:rPr>
                <w:sz w:val="20"/>
              </w:rPr>
            </w:pPr>
            <w:r w:rsidRPr="002C006E">
              <w:rPr>
                <w:sz w:val="16"/>
                <w:szCs w:val="16"/>
              </w:rPr>
              <w:t>91</w:t>
            </w:r>
          </w:p>
        </w:tc>
        <w:tc>
          <w:tcPr>
            <w:tcW w:w="1080" w:type="dxa"/>
            <w:vAlign w:val="center"/>
          </w:tcPr>
          <w:p w14:paraId="40C633F4" w14:textId="77777777" w:rsidR="0035631A" w:rsidRPr="002C006E" w:rsidRDefault="0035631A" w:rsidP="0035631A">
            <w:pPr>
              <w:suppressAutoHyphens/>
              <w:jc w:val="center"/>
              <w:rPr>
                <w:sz w:val="16"/>
                <w:szCs w:val="16"/>
              </w:rPr>
            </w:pPr>
            <w:r>
              <w:rPr>
                <w:sz w:val="16"/>
                <w:szCs w:val="16"/>
              </w:rPr>
              <w:t>95</w:t>
            </w:r>
          </w:p>
        </w:tc>
        <w:tc>
          <w:tcPr>
            <w:tcW w:w="1170" w:type="dxa"/>
          </w:tcPr>
          <w:p w14:paraId="0EC3E618" w14:textId="77777777" w:rsidR="0035631A" w:rsidRDefault="0035631A" w:rsidP="0035631A">
            <w:pPr>
              <w:suppressAutoHyphens/>
              <w:jc w:val="center"/>
              <w:rPr>
                <w:sz w:val="20"/>
              </w:rPr>
            </w:pPr>
          </w:p>
          <w:p w14:paraId="0C5EE104" w14:textId="77777777" w:rsidR="0035631A" w:rsidRPr="00A94C72" w:rsidRDefault="0035631A" w:rsidP="0035631A">
            <w:pPr>
              <w:jc w:val="center"/>
              <w:rPr>
                <w:sz w:val="20"/>
              </w:rPr>
            </w:pPr>
            <w:r>
              <w:rPr>
                <w:sz w:val="20"/>
              </w:rPr>
              <w:t>96</w:t>
            </w:r>
          </w:p>
        </w:tc>
        <w:tc>
          <w:tcPr>
            <w:tcW w:w="1170" w:type="dxa"/>
          </w:tcPr>
          <w:p w14:paraId="2EEB1612" w14:textId="77777777" w:rsidR="0035631A" w:rsidRDefault="0035631A" w:rsidP="0035631A">
            <w:pPr>
              <w:suppressAutoHyphens/>
              <w:jc w:val="center"/>
              <w:rPr>
                <w:sz w:val="20"/>
              </w:rPr>
            </w:pPr>
          </w:p>
          <w:p w14:paraId="0BBA6C2F" w14:textId="77777777" w:rsidR="0035631A" w:rsidRPr="00E5177D" w:rsidRDefault="004B3D30" w:rsidP="0035631A">
            <w:pPr>
              <w:suppressAutoHyphens/>
              <w:jc w:val="center"/>
              <w:rPr>
                <w:sz w:val="20"/>
              </w:rPr>
            </w:pPr>
            <w:r>
              <w:rPr>
                <w:sz w:val="20"/>
              </w:rPr>
              <w:t>104</w:t>
            </w:r>
          </w:p>
        </w:tc>
        <w:tc>
          <w:tcPr>
            <w:tcW w:w="1170" w:type="dxa"/>
          </w:tcPr>
          <w:p w14:paraId="09D51108" w14:textId="77777777" w:rsidR="0035631A" w:rsidRDefault="0035631A" w:rsidP="0035631A">
            <w:pPr>
              <w:suppressAutoHyphens/>
              <w:jc w:val="center"/>
              <w:rPr>
                <w:sz w:val="20"/>
              </w:rPr>
            </w:pPr>
          </w:p>
          <w:p w14:paraId="4DFB1E19" w14:textId="77777777" w:rsidR="0035631A" w:rsidRPr="00E5177D" w:rsidRDefault="004B3D30" w:rsidP="0035631A">
            <w:pPr>
              <w:suppressAutoHyphens/>
              <w:jc w:val="center"/>
              <w:rPr>
                <w:sz w:val="20"/>
              </w:rPr>
            </w:pPr>
            <w:r>
              <w:rPr>
                <w:sz w:val="20"/>
              </w:rPr>
              <w:t>102</w:t>
            </w:r>
          </w:p>
        </w:tc>
        <w:tc>
          <w:tcPr>
            <w:tcW w:w="1170" w:type="dxa"/>
          </w:tcPr>
          <w:p w14:paraId="35BE75C8" w14:textId="77777777" w:rsidR="004B3D30" w:rsidRDefault="004B3D30" w:rsidP="0035631A">
            <w:pPr>
              <w:suppressAutoHyphens/>
              <w:jc w:val="center"/>
              <w:rPr>
                <w:sz w:val="20"/>
              </w:rPr>
            </w:pPr>
          </w:p>
          <w:p w14:paraId="66B9452F" w14:textId="77777777" w:rsidR="0035631A" w:rsidRPr="00E5177D" w:rsidRDefault="004B3D30" w:rsidP="0035631A">
            <w:pPr>
              <w:suppressAutoHyphens/>
              <w:jc w:val="center"/>
              <w:rPr>
                <w:sz w:val="20"/>
              </w:rPr>
            </w:pPr>
            <w:r>
              <w:rPr>
                <w:sz w:val="20"/>
              </w:rPr>
              <w:t>102</w:t>
            </w:r>
          </w:p>
        </w:tc>
      </w:tr>
      <w:tr w:rsidR="00792B05" w:rsidRPr="00955CDB" w14:paraId="05831324" w14:textId="77777777" w:rsidTr="002F2472">
        <w:tblPrEx>
          <w:tblCellMar>
            <w:top w:w="0" w:type="dxa"/>
            <w:bottom w:w="0" w:type="dxa"/>
          </w:tblCellMar>
        </w:tblPrEx>
        <w:tc>
          <w:tcPr>
            <w:tcW w:w="1188" w:type="dxa"/>
          </w:tcPr>
          <w:p w14:paraId="5033DD79" w14:textId="77777777" w:rsidR="00792B05" w:rsidRDefault="00792B05" w:rsidP="00792B05">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p>
        </w:tc>
        <w:tc>
          <w:tcPr>
            <w:tcW w:w="3240" w:type="dxa"/>
            <w:vAlign w:val="bottom"/>
          </w:tcPr>
          <w:p w14:paraId="70C43E80" w14:textId="77777777" w:rsidR="00792B05" w:rsidRDefault="00792B05" w:rsidP="00792B05">
            <w:pPr>
              <w:suppressAutoHyphens/>
              <w:rPr>
                <w:sz w:val="20"/>
              </w:rPr>
            </w:pPr>
          </w:p>
        </w:tc>
        <w:tc>
          <w:tcPr>
            <w:tcW w:w="1062" w:type="dxa"/>
            <w:vAlign w:val="bottom"/>
          </w:tcPr>
          <w:p w14:paraId="339EA2A5" w14:textId="77777777" w:rsidR="00792B05" w:rsidRDefault="00792B05" w:rsidP="00792B05">
            <w:pPr>
              <w:suppressAutoHyphens/>
              <w:jc w:val="center"/>
              <w:rPr>
                <w:b/>
                <w:sz w:val="20"/>
              </w:rPr>
            </w:pPr>
            <w:r>
              <w:rPr>
                <w:b/>
                <w:sz w:val="20"/>
              </w:rPr>
              <w:t>2000</w:t>
            </w:r>
          </w:p>
          <w:p w14:paraId="67D26E61" w14:textId="77777777" w:rsidR="00792B05" w:rsidRPr="003A2144" w:rsidRDefault="00792B05" w:rsidP="00792B05">
            <w:pPr>
              <w:suppressAutoHyphens/>
              <w:jc w:val="center"/>
              <w:rPr>
                <w:b/>
                <w:sz w:val="20"/>
              </w:rPr>
            </w:pPr>
            <w:r>
              <w:rPr>
                <w:b/>
                <w:sz w:val="20"/>
              </w:rPr>
              <w:t>Survey</w:t>
            </w:r>
            <w:r w:rsidRPr="003A2144">
              <w:rPr>
                <w:b/>
                <w:sz w:val="20"/>
              </w:rPr>
              <w:t xml:space="preserve"> Actual</w:t>
            </w:r>
          </w:p>
        </w:tc>
        <w:tc>
          <w:tcPr>
            <w:tcW w:w="1080" w:type="dxa"/>
            <w:vAlign w:val="bottom"/>
          </w:tcPr>
          <w:p w14:paraId="0EE1624C" w14:textId="77777777" w:rsidR="00792B05" w:rsidRDefault="00792B05" w:rsidP="00792B05">
            <w:pPr>
              <w:suppressAutoHyphens/>
              <w:jc w:val="center"/>
              <w:rPr>
                <w:b/>
                <w:sz w:val="20"/>
              </w:rPr>
            </w:pPr>
            <w:r>
              <w:rPr>
                <w:b/>
                <w:sz w:val="20"/>
              </w:rPr>
              <w:t>2002</w:t>
            </w:r>
          </w:p>
          <w:p w14:paraId="7784B607" w14:textId="77777777" w:rsidR="00792B05" w:rsidRPr="003A2144" w:rsidRDefault="00792B05" w:rsidP="00792B05">
            <w:pPr>
              <w:suppressAutoHyphens/>
              <w:jc w:val="center"/>
              <w:rPr>
                <w:b/>
                <w:sz w:val="20"/>
              </w:rPr>
            </w:pPr>
            <w:r>
              <w:rPr>
                <w:b/>
                <w:sz w:val="20"/>
              </w:rPr>
              <w:t>Survey</w:t>
            </w:r>
            <w:r w:rsidRPr="003A2144">
              <w:rPr>
                <w:b/>
                <w:sz w:val="20"/>
              </w:rPr>
              <w:t xml:space="preserve"> Actual</w:t>
            </w:r>
          </w:p>
        </w:tc>
        <w:tc>
          <w:tcPr>
            <w:tcW w:w="1170" w:type="dxa"/>
            <w:vAlign w:val="bottom"/>
          </w:tcPr>
          <w:p w14:paraId="39482221" w14:textId="77777777" w:rsidR="00792B05" w:rsidRDefault="00792B05" w:rsidP="00792B05">
            <w:pPr>
              <w:tabs>
                <w:tab w:val="left" w:pos="285"/>
                <w:tab w:val="center" w:pos="598"/>
              </w:tabs>
              <w:suppressAutoHyphens/>
              <w:jc w:val="center"/>
              <w:rPr>
                <w:b/>
                <w:sz w:val="20"/>
              </w:rPr>
            </w:pPr>
            <w:r>
              <w:rPr>
                <w:b/>
                <w:sz w:val="20"/>
              </w:rPr>
              <w:t>2005</w:t>
            </w:r>
          </w:p>
          <w:p w14:paraId="1F5221EF" w14:textId="77777777" w:rsidR="00792B05" w:rsidRPr="003A2144" w:rsidRDefault="00792B05" w:rsidP="00792B05">
            <w:pPr>
              <w:tabs>
                <w:tab w:val="left" w:pos="285"/>
                <w:tab w:val="center" w:pos="598"/>
              </w:tabs>
              <w:suppressAutoHyphens/>
              <w:jc w:val="center"/>
              <w:rPr>
                <w:b/>
                <w:color w:val="0000FF"/>
                <w:sz w:val="20"/>
              </w:rPr>
            </w:pPr>
            <w:r>
              <w:rPr>
                <w:b/>
                <w:sz w:val="20"/>
              </w:rPr>
              <w:t>Survey</w:t>
            </w:r>
            <w:r w:rsidRPr="003A2144">
              <w:rPr>
                <w:b/>
                <w:sz w:val="20"/>
              </w:rPr>
              <w:t xml:space="preserve"> Actual</w:t>
            </w:r>
          </w:p>
        </w:tc>
        <w:tc>
          <w:tcPr>
            <w:tcW w:w="1170" w:type="dxa"/>
            <w:vAlign w:val="bottom"/>
          </w:tcPr>
          <w:p w14:paraId="2CEC8E6A" w14:textId="77777777" w:rsidR="00792B05" w:rsidRDefault="00792B05" w:rsidP="00792B05">
            <w:pPr>
              <w:tabs>
                <w:tab w:val="left" w:pos="285"/>
                <w:tab w:val="center" w:pos="598"/>
              </w:tabs>
              <w:suppressAutoHyphens/>
              <w:jc w:val="center"/>
              <w:rPr>
                <w:b/>
                <w:sz w:val="20"/>
              </w:rPr>
            </w:pPr>
            <w:r>
              <w:rPr>
                <w:b/>
                <w:sz w:val="20"/>
              </w:rPr>
              <w:t>2008</w:t>
            </w:r>
          </w:p>
          <w:p w14:paraId="0A204204" w14:textId="77777777" w:rsidR="00792B05" w:rsidRPr="003A2144" w:rsidRDefault="00792B05" w:rsidP="00792B05">
            <w:pPr>
              <w:tabs>
                <w:tab w:val="left" w:pos="285"/>
                <w:tab w:val="center" w:pos="598"/>
              </w:tabs>
              <w:suppressAutoHyphens/>
              <w:jc w:val="center"/>
              <w:rPr>
                <w:b/>
                <w:color w:val="0000FF"/>
                <w:sz w:val="20"/>
              </w:rPr>
            </w:pPr>
            <w:r>
              <w:rPr>
                <w:b/>
                <w:sz w:val="20"/>
              </w:rPr>
              <w:t>Survey</w:t>
            </w:r>
            <w:r w:rsidRPr="003A2144">
              <w:rPr>
                <w:b/>
                <w:sz w:val="20"/>
              </w:rPr>
              <w:t xml:space="preserve"> Actual</w:t>
            </w:r>
          </w:p>
        </w:tc>
        <w:tc>
          <w:tcPr>
            <w:tcW w:w="1170" w:type="dxa"/>
          </w:tcPr>
          <w:p w14:paraId="12914E33" w14:textId="77777777" w:rsidR="00792B05" w:rsidRPr="00986C2B" w:rsidRDefault="00792B05" w:rsidP="001764D4">
            <w:pPr>
              <w:tabs>
                <w:tab w:val="left" w:pos="285"/>
                <w:tab w:val="center" w:pos="598"/>
              </w:tabs>
              <w:suppressAutoHyphens/>
              <w:jc w:val="center"/>
              <w:rPr>
                <w:b/>
                <w:sz w:val="20"/>
              </w:rPr>
            </w:pPr>
            <w:r>
              <w:rPr>
                <w:b/>
                <w:sz w:val="20"/>
              </w:rPr>
              <w:t>2011</w:t>
            </w:r>
            <w:r w:rsidRPr="00986C2B">
              <w:rPr>
                <w:b/>
                <w:sz w:val="20"/>
              </w:rPr>
              <w:t xml:space="preserve"> </w:t>
            </w:r>
            <w:r>
              <w:rPr>
                <w:b/>
                <w:sz w:val="20"/>
              </w:rPr>
              <w:t xml:space="preserve">Survey </w:t>
            </w:r>
            <w:r w:rsidR="001764D4">
              <w:rPr>
                <w:b/>
                <w:sz w:val="20"/>
              </w:rPr>
              <w:t>Actual</w:t>
            </w:r>
          </w:p>
        </w:tc>
        <w:tc>
          <w:tcPr>
            <w:tcW w:w="1170" w:type="dxa"/>
          </w:tcPr>
          <w:p w14:paraId="6B71BD96" w14:textId="77777777" w:rsidR="00792B05" w:rsidRPr="00986C2B" w:rsidRDefault="00792B05" w:rsidP="00792B05">
            <w:pPr>
              <w:tabs>
                <w:tab w:val="left" w:pos="285"/>
                <w:tab w:val="center" w:pos="598"/>
              </w:tabs>
              <w:suppressAutoHyphens/>
              <w:jc w:val="center"/>
              <w:rPr>
                <w:b/>
                <w:sz w:val="20"/>
              </w:rPr>
            </w:pPr>
            <w:r>
              <w:rPr>
                <w:b/>
                <w:sz w:val="20"/>
              </w:rPr>
              <w:t>2014</w:t>
            </w:r>
            <w:r w:rsidRPr="00986C2B">
              <w:rPr>
                <w:b/>
                <w:sz w:val="20"/>
              </w:rPr>
              <w:t xml:space="preserve"> </w:t>
            </w:r>
            <w:r>
              <w:rPr>
                <w:b/>
                <w:sz w:val="20"/>
              </w:rPr>
              <w:t xml:space="preserve">Survey </w:t>
            </w:r>
            <w:r w:rsidRPr="00986C2B">
              <w:rPr>
                <w:b/>
                <w:sz w:val="20"/>
              </w:rPr>
              <w:t>Estimated</w:t>
            </w:r>
          </w:p>
        </w:tc>
      </w:tr>
      <w:tr w:rsidR="00792B05" w:rsidRPr="00955CDB" w14:paraId="1B4260C0" w14:textId="77777777" w:rsidTr="002F2472">
        <w:tblPrEx>
          <w:tblCellMar>
            <w:top w:w="0" w:type="dxa"/>
            <w:bottom w:w="0" w:type="dxa"/>
          </w:tblCellMar>
        </w:tblPrEx>
        <w:tc>
          <w:tcPr>
            <w:tcW w:w="1188" w:type="dxa"/>
          </w:tcPr>
          <w:p w14:paraId="1081F212" w14:textId="77777777" w:rsidR="00792B05" w:rsidRDefault="00792B05" w:rsidP="008166E0">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p>
          <w:p w14:paraId="64305389" w14:textId="77777777" w:rsidR="00792B05" w:rsidRDefault="00792B05" w:rsidP="008166E0">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r>
              <w:rPr>
                <w:sz w:val="20"/>
              </w:rPr>
              <w:t>Outcome</w:t>
            </w:r>
          </w:p>
        </w:tc>
        <w:tc>
          <w:tcPr>
            <w:tcW w:w="3240" w:type="dxa"/>
            <w:vAlign w:val="bottom"/>
          </w:tcPr>
          <w:p w14:paraId="2D01950C" w14:textId="77777777" w:rsidR="00792B05" w:rsidRDefault="00792B05" w:rsidP="008166E0">
            <w:pPr>
              <w:suppressAutoHyphens/>
              <w:rPr>
                <w:sz w:val="20"/>
              </w:rPr>
            </w:pPr>
          </w:p>
          <w:p w14:paraId="30BFC4E0" w14:textId="77777777" w:rsidR="00792B05" w:rsidRPr="00FD3D0D" w:rsidRDefault="00792B05" w:rsidP="00E248C1">
            <w:pPr>
              <w:suppressAutoHyphens/>
              <w:rPr>
                <w:sz w:val="20"/>
                <w:vertAlign w:val="superscript"/>
              </w:rPr>
            </w:pPr>
            <w:r>
              <w:rPr>
                <w:sz w:val="20"/>
              </w:rPr>
              <w:t>Estimated number of Nursing</w:t>
            </w:r>
            <w:r w:rsidR="00E33E4E">
              <w:rPr>
                <w:sz w:val="20"/>
              </w:rPr>
              <w:t xml:space="preserve"> </w:t>
            </w:r>
            <w:r>
              <w:rPr>
                <w:sz w:val="20"/>
              </w:rPr>
              <w:t>graduates employed in MD</w:t>
            </w:r>
            <w:r>
              <w:rPr>
                <w:b/>
                <w:sz w:val="20"/>
              </w:rPr>
              <w:t xml:space="preserve"> </w:t>
            </w:r>
            <w:r>
              <w:rPr>
                <w:sz w:val="20"/>
              </w:rPr>
              <w:t>as nurses</w:t>
            </w:r>
            <w:r w:rsidR="00FD3D0D">
              <w:rPr>
                <w:sz w:val="20"/>
                <w:vertAlign w:val="superscript"/>
              </w:rPr>
              <w:t>2</w:t>
            </w:r>
          </w:p>
        </w:tc>
        <w:tc>
          <w:tcPr>
            <w:tcW w:w="1062" w:type="dxa"/>
            <w:vAlign w:val="bottom"/>
          </w:tcPr>
          <w:p w14:paraId="47F0A535" w14:textId="77777777" w:rsidR="00792B05" w:rsidRPr="00546C9C" w:rsidRDefault="00792B05" w:rsidP="002F2472">
            <w:pPr>
              <w:suppressAutoHyphens/>
              <w:jc w:val="center"/>
              <w:rPr>
                <w:sz w:val="20"/>
              </w:rPr>
            </w:pPr>
            <w:r>
              <w:rPr>
                <w:sz w:val="20"/>
              </w:rPr>
              <w:t>35</w:t>
            </w:r>
          </w:p>
        </w:tc>
        <w:tc>
          <w:tcPr>
            <w:tcW w:w="1080" w:type="dxa"/>
            <w:vAlign w:val="bottom"/>
          </w:tcPr>
          <w:p w14:paraId="75FEC84E" w14:textId="77777777" w:rsidR="00792B05" w:rsidRPr="00546C9C" w:rsidRDefault="00792B05" w:rsidP="002F2472">
            <w:pPr>
              <w:suppressAutoHyphens/>
              <w:jc w:val="center"/>
              <w:rPr>
                <w:sz w:val="20"/>
              </w:rPr>
            </w:pPr>
            <w:r>
              <w:rPr>
                <w:sz w:val="20"/>
              </w:rPr>
              <w:t>34</w:t>
            </w:r>
          </w:p>
        </w:tc>
        <w:tc>
          <w:tcPr>
            <w:tcW w:w="1170" w:type="dxa"/>
            <w:vAlign w:val="bottom"/>
          </w:tcPr>
          <w:p w14:paraId="4A57414F" w14:textId="77777777" w:rsidR="00792B05" w:rsidRPr="00546C9C" w:rsidRDefault="00792B05" w:rsidP="002F2472">
            <w:pPr>
              <w:suppressAutoHyphens/>
              <w:jc w:val="center"/>
              <w:rPr>
                <w:sz w:val="20"/>
              </w:rPr>
            </w:pPr>
            <w:r>
              <w:rPr>
                <w:sz w:val="20"/>
              </w:rPr>
              <w:t>57</w:t>
            </w:r>
          </w:p>
        </w:tc>
        <w:tc>
          <w:tcPr>
            <w:tcW w:w="1170" w:type="dxa"/>
            <w:vAlign w:val="bottom"/>
          </w:tcPr>
          <w:p w14:paraId="10715FF9" w14:textId="77777777" w:rsidR="00792B05" w:rsidRPr="000B1917" w:rsidRDefault="00792B05" w:rsidP="002F2472">
            <w:pPr>
              <w:tabs>
                <w:tab w:val="left" w:pos="285"/>
                <w:tab w:val="center" w:pos="598"/>
              </w:tabs>
              <w:suppressAutoHyphens/>
              <w:jc w:val="center"/>
              <w:rPr>
                <w:sz w:val="20"/>
              </w:rPr>
            </w:pPr>
            <w:r>
              <w:rPr>
                <w:sz w:val="20"/>
              </w:rPr>
              <w:t>55</w:t>
            </w:r>
          </w:p>
        </w:tc>
        <w:tc>
          <w:tcPr>
            <w:tcW w:w="1170" w:type="dxa"/>
          </w:tcPr>
          <w:p w14:paraId="687B98FD" w14:textId="77777777" w:rsidR="00792B05" w:rsidRDefault="00792B05" w:rsidP="002F2472">
            <w:pPr>
              <w:suppressAutoHyphens/>
              <w:jc w:val="center"/>
              <w:rPr>
                <w:sz w:val="20"/>
              </w:rPr>
            </w:pPr>
          </w:p>
          <w:p w14:paraId="68A91154" w14:textId="77777777" w:rsidR="00792B05" w:rsidRDefault="00792B05" w:rsidP="002F2472">
            <w:pPr>
              <w:suppressAutoHyphens/>
              <w:jc w:val="center"/>
              <w:rPr>
                <w:sz w:val="20"/>
              </w:rPr>
            </w:pPr>
          </w:p>
          <w:p w14:paraId="390AA12D" w14:textId="77777777" w:rsidR="00792B05" w:rsidRPr="000B1917" w:rsidRDefault="001764D4" w:rsidP="002F2472">
            <w:pPr>
              <w:suppressAutoHyphens/>
              <w:jc w:val="center"/>
              <w:rPr>
                <w:sz w:val="20"/>
              </w:rPr>
            </w:pPr>
            <w:r>
              <w:rPr>
                <w:sz w:val="20"/>
              </w:rPr>
              <w:t>71</w:t>
            </w:r>
          </w:p>
        </w:tc>
        <w:tc>
          <w:tcPr>
            <w:tcW w:w="1170" w:type="dxa"/>
            <w:vAlign w:val="bottom"/>
          </w:tcPr>
          <w:p w14:paraId="67D61722" w14:textId="77777777" w:rsidR="00792B05" w:rsidRPr="00D3357C" w:rsidRDefault="00D3357C" w:rsidP="002F2472">
            <w:pPr>
              <w:suppressAutoHyphens/>
              <w:jc w:val="center"/>
              <w:rPr>
                <w:sz w:val="20"/>
              </w:rPr>
            </w:pPr>
            <w:r w:rsidRPr="00D3357C">
              <w:rPr>
                <w:sz w:val="20"/>
              </w:rPr>
              <w:t>74</w:t>
            </w:r>
          </w:p>
        </w:tc>
      </w:tr>
    </w:tbl>
    <w:p w14:paraId="5C8660B8" w14:textId="77777777" w:rsidR="00C26D7E" w:rsidRDefault="00C26D7E" w:rsidP="00301DAE">
      <w:pPr>
        <w:rPr>
          <w:sz w:val="20"/>
          <w:vertAlign w:val="superscript"/>
        </w:rPr>
      </w:pPr>
    </w:p>
    <w:p w14:paraId="2A394AD0" w14:textId="77777777" w:rsidR="00976276" w:rsidRDefault="00976276" w:rsidP="00301DAE">
      <w:pPr>
        <w:rPr>
          <w:b/>
          <w:sz w:val="20"/>
          <w:u w:val="single"/>
        </w:rPr>
      </w:pPr>
    </w:p>
    <w:p w14:paraId="72F7CA7A" w14:textId="77777777" w:rsidR="00976276" w:rsidRDefault="00976276" w:rsidP="00301DAE">
      <w:pPr>
        <w:rPr>
          <w:b/>
          <w:sz w:val="20"/>
          <w:u w:val="single"/>
        </w:rPr>
      </w:pPr>
    </w:p>
    <w:p w14:paraId="271F9E03" w14:textId="77777777" w:rsidR="00976276" w:rsidRDefault="00976276" w:rsidP="00301DAE">
      <w:pPr>
        <w:rPr>
          <w:b/>
          <w:sz w:val="20"/>
          <w:u w:val="single"/>
        </w:rPr>
      </w:pPr>
    </w:p>
    <w:p w14:paraId="02FD9DF4" w14:textId="77777777" w:rsidR="00976276" w:rsidRDefault="00976276" w:rsidP="00301DAE">
      <w:pPr>
        <w:rPr>
          <w:b/>
          <w:sz w:val="20"/>
          <w:u w:val="single"/>
        </w:rPr>
      </w:pPr>
    </w:p>
    <w:p w14:paraId="56A14A58" w14:textId="77777777" w:rsidR="00976276" w:rsidRDefault="00976276" w:rsidP="00301DAE">
      <w:pPr>
        <w:rPr>
          <w:b/>
          <w:sz w:val="20"/>
          <w:u w:val="single"/>
        </w:rPr>
      </w:pPr>
    </w:p>
    <w:p w14:paraId="04ADEE5D" w14:textId="77777777" w:rsidR="00976276" w:rsidRDefault="00976276" w:rsidP="00301DAE">
      <w:pPr>
        <w:rPr>
          <w:b/>
          <w:sz w:val="20"/>
          <w:u w:val="single"/>
        </w:rPr>
      </w:pPr>
    </w:p>
    <w:p w14:paraId="1F9E087B" w14:textId="77777777" w:rsidR="00976276" w:rsidRDefault="00976276" w:rsidP="00301DAE">
      <w:pPr>
        <w:rPr>
          <w:b/>
          <w:sz w:val="20"/>
          <w:u w:val="single"/>
        </w:rPr>
      </w:pPr>
    </w:p>
    <w:p w14:paraId="0CB80DFC" w14:textId="77777777" w:rsidR="00976276" w:rsidRDefault="00976276" w:rsidP="00301DAE">
      <w:pPr>
        <w:rPr>
          <w:b/>
          <w:sz w:val="20"/>
          <w:u w:val="single"/>
        </w:rPr>
      </w:pPr>
    </w:p>
    <w:p w14:paraId="0BFD31F9" w14:textId="77777777" w:rsidR="00976276" w:rsidRDefault="00976276" w:rsidP="00301DAE">
      <w:pPr>
        <w:rPr>
          <w:b/>
          <w:sz w:val="20"/>
          <w:u w:val="single"/>
        </w:rPr>
      </w:pPr>
    </w:p>
    <w:p w14:paraId="0B72E47E" w14:textId="77777777" w:rsidR="00976276" w:rsidRDefault="00976276" w:rsidP="00301DAE">
      <w:pPr>
        <w:rPr>
          <w:b/>
          <w:sz w:val="20"/>
          <w:u w:val="single"/>
        </w:rPr>
      </w:pPr>
    </w:p>
    <w:p w14:paraId="51B470BE" w14:textId="77777777" w:rsidR="00976276" w:rsidRDefault="00976276" w:rsidP="00301DAE">
      <w:pPr>
        <w:rPr>
          <w:b/>
          <w:sz w:val="20"/>
          <w:u w:val="single"/>
        </w:rPr>
      </w:pPr>
    </w:p>
    <w:p w14:paraId="125600FE" w14:textId="77777777" w:rsidR="00976276" w:rsidRDefault="00976276" w:rsidP="00301DAE">
      <w:pPr>
        <w:rPr>
          <w:b/>
          <w:sz w:val="20"/>
          <w:u w:val="single"/>
        </w:rPr>
      </w:pPr>
    </w:p>
    <w:p w14:paraId="0870CD32" w14:textId="77777777" w:rsidR="00976276" w:rsidRDefault="00976276" w:rsidP="00301DAE">
      <w:pPr>
        <w:rPr>
          <w:b/>
          <w:sz w:val="20"/>
          <w:u w:val="single"/>
        </w:rPr>
      </w:pPr>
    </w:p>
    <w:p w14:paraId="6A7C9E20" w14:textId="77777777" w:rsidR="00976276" w:rsidRDefault="00976276" w:rsidP="00301DAE">
      <w:pPr>
        <w:rPr>
          <w:b/>
          <w:sz w:val="20"/>
          <w:u w:val="single"/>
        </w:rPr>
      </w:pPr>
    </w:p>
    <w:p w14:paraId="49CB1CD9" w14:textId="77777777" w:rsidR="00976276" w:rsidRDefault="00976276" w:rsidP="00301DAE">
      <w:pPr>
        <w:rPr>
          <w:b/>
          <w:sz w:val="20"/>
          <w:u w:val="single"/>
        </w:rPr>
      </w:pPr>
    </w:p>
    <w:p w14:paraId="101E87E7" w14:textId="77777777" w:rsidR="00976276" w:rsidRDefault="00976276" w:rsidP="00301DAE">
      <w:pPr>
        <w:rPr>
          <w:b/>
          <w:sz w:val="20"/>
          <w:u w:val="single"/>
        </w:rPr>
      </w:pPr>
    </w:p>
    <w:p w14:paraId="7E505EF0" w14:textId="77777777" w:rsidR="00976276" w:rsidRDefault="00976276" w:rsidP="00301DAE">
      <w:pPr>
        <w:rPr>
          <w:b/>
          <w:sz w:val="20"/>
          <w:u w:val="single"/>
        </w:rPr>
      </w:pPr>
    </w:p>
    <w:p w14:paraId="6C571BF7" w14:textId="77777777" w:rsidR="00976276" w:rsidRDefault="00976276" w:rsidP="00301DAE">
      <w:pPr>
        <w:rPr>
          <w:b/>
          <w:sz w:val="20"/>
          <w:u w:val="single"/>
        </w:rPr>
      </w:pPr>
    </w:p>
    <w:p w14:paraId="64D8B975" w14:textId="77777777" w:rsidR="00976276" w:rsidRDefault="00976276" w:rsidP="00301DAE">
      <w:pPr>
        <w:rPr>
          <w:b/>
          <w:sz w:val="20"/>
          <w:u w:val="single"/>
        </w:rPr>
      </w:pPr>
    </w:p>
    <w:p w14:paraId="694F988A" w14:textId="77777777" w:rsidR="00976276" w:rsidRDefault="00976276" w:rsidP="00301DAE">
      <w:pPr>
        <w:rPr>
          <w:b/>
          <w:sz w:val="20"/>
          <w:u w:val="single"/>
        </w:rPr>
      </w:pPr>
    </w:p>
    <w:p w14:paraId="2D9BDA93" w14:textId="77777777" w:rsidR="00F94C48" w:rsidRDefault="00F94C48" w:rsidP="00301DAE">
      <w:pPr>
        <w:rPr>
          <w:b/>
          <w:sz w:val="20"/>
          <w:u w:val="single"/>
        </w:rPr>
      </w:pPr>
    </w:p>
    <w:p w14:paraId="4F1CF738" w14:textId="77777777" w:rsidR="00F94C48" w:rsidRDefault="00F94C48" w:rsidP="00301DAE">
      <w:pPr>
        <w:rPr>
          <w:b/>
          <w:sz w:val="20"/>
          <w:u w:val="single"/>
        </w:rPr>
      </w:pPr>
    </w:p>
    <w:p w14:paraId="2544F391" w14:textId="77777777" w:rsidR="00F94C48" w:rsidRDefault="00F94C48" w:rsidP="00301DAE">
      <w:pPr>
        <w:rPr>
          <w:b/>
          <w:sz w:val="20"/>
          <w:u w:val="single"/>
        </w:rPr>
      </w:pPr>
    </w:p>
    <w:p w14:paraId="6140BB72" w14:textId="77777777" w:rsidR="00F94C48" w:rsidRDefault="00F94C48" w:rsidP="00301DAE">
      <w:pPr>
        <w:rPr>
          <w:b/>
          <w:sz w:val="20"/>
          <w:u w:val="single"/>
        </w:rPr>
      </w:pPr>
    </w:p>
    <w:p w14:paraId="0B63DFFB" w14:textId="77777777" w:rsidR="00301DAE" w:rsidRDefault="00976276" w:rsidP="00301DAE">
      <w:pPr>
        <w:rPr>
          <w:b/>
          <w:sz w:val="20"/>
          <w:u w:val="single"/>
        </w:rPr>
      </w:pPr>
      <w:r>
        <w:rPr>
          <w:b/>
          <w:sz w:val="20"/>
          <w:u w:val="single"/>
        </w:rPr>
        <w:t>N</w:t>
      </w:r>
      <w:r w:rsidR="00301DAE" w:rsidRPr="00955CDB">
        <w:rPr>
          <w:b/>
          <w:sz w:val="20"/>
          <w:u w:val="single"/>
        </w:rPr>
        <w:t>otes to MFR</w:t>
      </w:r>
    </w:p>
    <w:p w14:paraId="11945250" w14:textId="77777777" w:rsidR="00F94C48" w:rsidRPr="00BA3780" w:rsidRDefault="00BA3780" w:rsidP="00301DAE">
      <w:pPr>
        <w:rPr>
          <w:sz w:val="20"/>
        </w:rPr>
      </w:pPr>
      <w:r>
        <w:rPr>
          <w:sz w:val="20"/>
          <w:vertAlign w:val="superscript"/>
        </w:rPr>
        <w:lastRenderedPageBreak/>
        <w:t>1</w:t>
      </w:r>
      <w:r>
        <w:rPr>
          <w:sz w:val="20"/>
        </w:rPr>
        <w:t>PRAXIS II test results are reported on a cohort basis. The test period for 201</w:t>
      </w:r>
      <w:r w:rsidR="00933C7F">
        <w:rPr>
          <w:sz w:val="20"/>
        </w:rPr>
        <w:t>2</w:t>
      </w:r>
      <w:r>
        <w:rPr>
          <w:sz w:val="20"/>
        </w:rPr>
        <w:t xml:space="preserve"> actually ran between 10/1/20</w:t>
      </w:r>
      <w:r w:rsidR="00933C7F">
        <w:rPr>
          <w:sz w:val="20"/>
        </w:rPr>
        <w:t>10</w:t>
      </w:r>
      <w:r>
        <w:rPr>
          <w:sz w:val="20"/>
        </w:rPr>
        <w:t xml:space="preserve"> and 9/30/201</w:t>
      </w:r>
      <w:r w:rsidR="00933C7F">
        <w:rPr>
          <w:sz w:val="20"/>
        </w:rPr>
        <w:t>1</w:t>
      </w:r>
      <w:r>
        <w:rPr>
          <w:sz w:val="20"/>
        </w:rPr>
        <w:t>.</w:t>
      </w:r>
    </w:p>
    <w:p w14:paraId="02268E66" w14:textId="77777777" w:rsidR="00F94C48" w:rsidRPr="00BA3780" w:rsidRDefault="00BA3780" w:rsidP="00301DAE">
      <w:pPr>
        <w:rPr>
          <w:sz w:val="20"/>
        </w:rPr>
      </w:pPr>
      <w:r>
        <w:rPr>
          <w:sz w:val="20"/>
          <w:vertAlign w:val="superscript"/>
        </w:rPr>
        <w:t>2</w:t>
      </w:r>
      <w:r>
        <w:rPr>
          <w:sz w:val="20"/>
        </w:rPr>
        <w:t>All data for this indicator are from the MHEC triennial Follow-up Survey of Graduates. The next MHEC survey will be conducted in fiscal year 2014.</w:t>
      </w:r>
    </w:p>
    <w:p w14:paraId="1C318F89" w14:textId="77777777" w:rsidR="00DD1C30" w:rsidRPr="00443D0B" w:rsidRDefault="00BA3780" w:rsidP="002C046D">
      <w:pPr>
        <w:rPr>
          <w:sz w:val="20"/>
        </w:rPr>
      </w:pPr>
      <w:r>
        <w:rPr>
          <w:sz w:val="20"/>
          <w:vertAlign w:val="superscript"/>
        </w:rPr>
        <w:t>3</w:t>
      </w:r>
      <w:r w:rsidR="00443D0B">
        <w:rPr>
          <w:sz w:val="20"/>
        </w:rPr>
        <w:t>Actual 201</w:t>
      </w:r>
      <w:r w:rsidR="005C0CF3">
        <w:rPr>
          <w:sz w:val="20"/>
        </w:rPr>
        <w:t>2 data are from fall 2011</w:t>
      </w:r>
      <w:r w:rsidR="00443D0B">
        <w:rPr>
          <w:sz w:val="20"/>
        </w:rPr>
        <w:t>.</w:t>
      </w:r>
    </w:p>
    <w:p w14:paraId="345C4241" w14:textId="77777777" w:rsidR="002C046D" w:rsidRPr="00AA554B" w:rsidRDefault="00443D0B" w:rsidP="002C046D">
      <w:pPr>
        <w:rPr>
          <w:sz w:val="20"/>
        </w:rPr>
      </w:pPr>
      <w:r>
        <w:rPr>
          <w:sz w:val="20"/>
          <w:vertAlign w:val="superscript"/>
        </w:rPr>
        <w:t>4</w:t>
      </w:r>
      <w:r w:rsidR="002C046D" w:rsidRPr="00AA554B">
        <w:rPr>
          <w:sz w:val="20"/>
        </w:rPr>
        <w:t>Percentages are based on headcounts as of fall census and NEW ra</w:t>
      </w:r>
      <w:r w:rsidR="002C046D">
        <w:rPr>
          <w:sz w:val="20"/>
        </w:rPr>
        <w:t>ce/ethnicity codes starting in f</w:t>
      </w:r>
      <w:r w:rsidR="002C046D" w:rsidRPr="00AA554B">
        <w:rPr>
          <w:sz w:val="20"/>
        </w:rPr>
        <w:t xml:space="preserve">all 2010. As of fall 2010 (FY11 data), minority </w:t>
      </w:r>
      <w:r w:rsidR="002C046D">
        <w:rPr>
          <w:sz w:val="20"/>
        </w:rPr>
        <w:t xml:space="preserve">undergraduate </w:t>
      </w:r>
      <w:r w:rsidR="002C046D" w:rsidRPr="00AA554B">
        <w:rPr>
          <w:sz w:val="20"/>
        </w:rPr>
        <w:t xml:space="preserve">student counts also include students selecting two or </w:t>
      </w:r>
      <w:r w:rsidR="005C0CF3">
        <w:rPr>
          <w:sz w:val="20"/>
        </w:rPr>
        <w:t>more races. Actual data for 2012 reflects fall 2011</w:t>
      </w:r>
      <w:r w:rsidR="002C046D" w:rsidRPr="00AA554B">
        <w:rPr>
          <w:sz w:val="20"/>
        </w:rPr>
        <w:t xml:space="preserve"> </w:t>
      </w:r>
      <w:r w:rsidR="002C046D">
        <w:rPr>
          <w:sz w:val="20"/>
        </w:rPr>
        <w:t xml:space="preserve">undergraduate </w:t>
      </w:r>
      <w:r w:rsidR="002C046D" w:rsidRPr="00AA554B">
        <w:rPr>
          <w:sz w:val="20"/>
        </w:rPr>
        <w:t xml:space="preserve">enrollment. The following information is provided in response to the 2009 request of the Joint Chairs for additional information on </w:t>
      </w:r>
      <w:r w:rsidR="005C0CF3">
        <w:rPr>
          <w:sz w:val="20"/>
        </w:rPr>
        <w:t xml:space="preserve">undergraduate </w:t>
      </w:r>
      <w:r w:rsidR="002C046D" w:rsidRPr="00AA554B">
        <w:rPr>
          <w:sz w:val="20"/>
        </w:rPr>
        <w:t xml:space="preserve">minority student enrollment. SU minority student enrollment, broken down by minority group for the two most recent fiscal years, was as follows: </w:t>
      </w:r>
      <w:r w:rsidR="002C046D">
        <w:rPr>
          <w:sz w:val="20"/>
        </w:rPr>
        <w:t>African-American</w:t>
      </w:r>
      <w:r w:rsidR="002C046D" w:rsidRPr="00AA554B">
        <w:rPr>
          <w:sz w:val="20"/>
        </w:rPr>
        <w:t xml:space="preserve"> 11.4% </w:t>
      </w:r>
      <w:r w:rsidR="002C046D">
        <w:rPr>
          <w:sz w:val="20"/>
        </w:rPr>
        <w:t xml:space="preserve">in </w:t>
      </w:r>
      <w:r w:rsidR="002C046D" w:rsidRPr="00AA554B">
        <w:rPr>
          <w:sz w:val="20"/>
        </w:rPr>
        <w:t>FY11</w:t>
      </w:r>
      <w:r w:rsidR="005C0CF3">
        <w:rPr>
          <w:sz w:val="20"/>
        </w:rPr>
        <w:t xml:space="preserve"> and 10.8% in FY12</w:t>
      </w:r>
      <w:r w:rsidR="002C046D" w:rsidRPr="00AA554B">
        <w:rPr>
          <w:sz w:val="20"/>
        </w:rPr>
        <w:t>; Hispanic 3.7% in FY11</w:t>
      </w:r>
      <w:r w:rsidR="005C0CF3">
        <w:rPr>
          <w:sz w:val="20"/>
        </w:rPr>
        <w:t xml:space="preserve"> and 4.2% in FY12</w:t>
      </w:r>
      <w:r w:rsidR="002C046D" w:rsidRPr="00AA554B">
        <w:rPr>
          <w:sz w:val="20"/>
        </w:rPr>
        <w:t xml:space="preserve">; </w:t>
      </w:r>
      <w:r w:rsidR="002C046D">
        <w:rPr>
          <w:sz w:val="20"/>
        </w:rPr>
        <w:t>Asian 2.3% in FY11</w:t>
      </w:r>
      <w:r w:rsidR="005C0CF3">
        <w:rPr>
          <w:sz w:val="20"/>
        </w:rPr>
        <w:t xml:space="preserve"> and 2.5% in FY12</w:t>
      </w:r>
      <w:r w:rsidR="002C046D">
        <w:rPr>
          <w:sz w:val="20"/>
        </w:rPr>
        <w:t>; Native Hawaiian/Pacific Islander .08% in FY11</w:t>
      </w:r>
      <w:r w:rsidR="005C0CF3">
        <w:rPr>
          <w:sz w:val="20"/>
        </w:rPr>
        <w:t xml:space="preserve"> and .1% in FY12</w:t>
      </w:r>
      <w:r w:rsidR="002C046D">
        <w:rPr>
          <w:sz w:val="20"/>
        </w:rPr>
        <w:t xml:space="preserve">; </w:t>
      </w:r>
      <w:r w:rsidR="002C046D" w:rsidRPr="00AA554B">
        <w:rPr>
          <w:sz w:val="20"/>
        </w:rPr>
        <w:t>American Indian/Alaskan Native .4% in FY11</w:t>
      </w:r>
      <w:r w:rsidR="005C0CF3">
        <w:rPr>
          <w:sz w:val="20"/>
        </w:rPr>
        <w:t xml:space="preserve"> and .3 in FY12</w:t>
      </w:r>
      <w:r w:rsidR="002C046D">
        <w:rPr>
          <w:sz w:val="20"/>
        </w:rPr>
        <w:t>; Two or more races 1.7% in FY11</w:t>
      </w:r>
      <w:r w:rsidR="009F3914">
        <w:rPr>
          <w:sz w:val="20"/>
        </w:rPr>
        <w:t xml:space="preserve"> and 2.3% in FY12</w:t>
      </w:r>
      <w:r w:rsidR="002C046D" w:rsidRPr="00AA554B">
        <w:rPr>
          <w:sz w:val="20"/>
        </w:rPr>
        <w:t>.</w:t>
      </w:r>
    </w:p>
    <w:p w14:paraId="52668D08" w14:textId="77777777" w:rsidR="002C046D" w:rsidRPr="006F4FED" w:rsidRDefault="002C046D" w:rsidP="002C046D">
      <w:pPr>
        <w:rPr>
          <w:sz w:val="20"/>
        </w:rPr>
      </w:pPr>
      <w:r>
        <w:rPr>
          <w:sz w:val="20"/>
          <w:vertAlign w:val="superscript"/>
        </w:rPr>
        <w:t>5</w:t>
      </w:r>
      <w:r w:rsidRPr="002C046D">
        <w:rPr>
          <w:sz w:val="20"/>
        </w:rPr>
        <w:t xml:space="preserve"> </w:t>
      </w:r>
      <w:r w:rsidRPr="00955CDB">
        <w:rPr>
          <w:sz w:val="20"/>
        </w:rPr>
        <w:t>Data provided by the MHEC.</w:t>
      </w:r>
      <w:r>
        <w:rPr>
          <w:sz w:val="20"/>
        </w:rPr>
        <w:t xml:space="preserve"> </w:t>
      </w:r>
      <w:r w:rsidRPr="00955CDB">
        <w:rPr>
          <w:sz w:val="20"/>
        </w:rPr>
        <w:t xml:space="preserve">For second </w:t>
      </w:r>
      <w:r w:rsidRPr="00A4473D">
        <w:rPr>
          <w:sz w:val="20"/>
        </w:rPr>
        <w:t>year retention rates</w:t>
      </w:r>
      <w:r>
        <w:rPr>
          <w:sz w:val="20"/>
        </w:rPr>
        <w:t>, actual data for 201</w:t>
      </w:r>
      <w:r w:rsidR="009F3914">
        <w:rPr>
          <w:sz w:val="20"/>
        </w:rPr>
        <w:t>2</w:t>
      </w:r>
      <w:r w:rsidRPr="00955CDB">
        <w:rPr>
          <w:sz w:val="20"/>
        </w:rPr>
        <w:t xml:space="preserve"> report</w:t>
      </w:r>
      <w:r>
        <w:rPr>
          <w:sz w:val="20"/>
        </w:rPr>
        <w:t xml:space="preserve"> the number of students in the f</w:t>
      </w:r>
      <w:r w:rsidRPr="00955CDB">
        <w:rPr>
          <w:sz w:val="20"/>
        </w:rPr>
        <w:t>all 20</w:t>
      </w:r>
      <w:r w:rsidR="009F3914">
        <w:rPr>
          <w:sz w:val="20"/>
        </w:rPr>
        <w:t>10</w:t>
      </w:r>
      <w:r w:rsidRPr="00955CDB">
        <w:rPr>
          <w:sz w:val="20"/>
        </w:rPr>
        <w:t xml:space="preserve"> cohort who returned in </w:t>
      </w:r>
      <w:r>
        <w:rPr>
          <w:sz w:val="20"/>
        </w:rPr>
        <w:t>fall 201</w:t>
      </w:r>
      <w:r w:rsidR="009F3914">
        <w:rPr>
          <w:sz w:val="20"/>
        </w:rPr>
        <w:t>1</w:t>
      </w:r>
      <w:r w:rsidRPr="00955CDB">
        <w:rPr>
          <w:sz w:val="20"/>
        </w:rPr>
        <w:t>.</w:t>
      </w:r>
      <w:r>
        <w:rPr>
          <w:sz w:val="20"/>
        </w:rPr>
        <w:t xml:space="preserve"> </w:t>
      </w:r>
      <w:r w:rsidRPr="00955CDB">
        <w:rPr>
          <w:sz w:val="20"/>
        </w:rPr>
        <w:t>For graduation</w:t>
      </w:r>
      <w:r>
        <w:rPr>
          <w:sz w:val="20"/>
        </w:rPr>
        <w:t xml:space="preserve"> rates, actual data for 201</w:t>
      </w:r>
      <w:r w:rsidR="009F3914">
        <w:rPr>
          <w:sz w:val="20"/>
        </w:rPr>
        <w:t>2</w:t>
      </w:r>
      <w:r w:rsidRPr="00955CDB">
        <w:rPr>
          <w:sz w:val="20"/>
        </w:rPr>
        <w:t xml:space="preserve"> report the number of students in the </w:t>
      </w:r>
      <w:r>
        <w:rPr>
          <w:sz w:val="20"/>
        </w:rPr>
        <w:t>f</w:t>
      </w:r>
      <w:r w:rsidRPr="00955CDB">
        <w:rPr>
          <w:sz w:val="20"/>
        </w:rPr>
        <w:t xml:space="preserve">all </w:t>
      </w:r>
      <w:r>
        <w:rPr>
          <w:sz w:val="20"/>
        </w:rPr>
        <w:t>200</w:t>
      </w:r>
      <w:r w:rsidR="009F3914">
        <w:rPr>
          <w:sz w:val="20"/>
        </w:rPr>
        <w:t>5</w:t>
      </w:r>
      <w:r>
        <w:rPr>
          <w:sz w:val="20"/>
        </w:rPr>
        <w:t xml:space="preserve"> cohort who graduated by spring 201</w:t>
      </w:r>
      <w:r w:rsidR="009F3914">
        <w:rPr>
          <w:sz w:val="20"/>
        </w:rPr>
        <w:t>1</w:t>
      </w:r>
      <w:r>
        <w:rPr>
          <w:sz w:val="20"/>
        </w:rPr>
        <w:t xml:space="preserve">.  </w:t>
      </w:r>
    </w:p>
    <w:p w14:paraId="433D4871" w14:textId="77777777" w:rsidR="002C046D" w:rsidRPr="002C046D" w:rsidRDefault="002C046D" w:rsidP="00301DAE">
      <w:pPr>
        <w:rPr>
          <w:sz w:val="20"/>
        </w:rPr>
      </w:pPr>
      <w:r w:rsidRPr="002C046D">
        <w:rPr>
          <w:sz w:val="20"/>
          <w:vertAlign w:val="superscript"/>
        </w:rPr>
        <w:t>6</w:t>
      </w:r>
      <w:r w:rsidRPr="002C046D">
        <w:rPr>
          <w:sz w:val="20"/>
        </w:rPr>
        <w:t xml:space="preserve"> </w:t>
      </w:r>
      <w:r w:rsidRPr="00955CDB">
        <w:rPr>
          <w:sz w:val="20"/>
        </w:rPr>
        <w:t xml:space="preserve">Additional Indicators are institutional measures that are important to external </w:t>
      </w:r>
      <w:r>
        <w:rPr>
          <w:sz w:val="20"/>
        </w:rPr>
        <w:t xml:space="preserve">audiences. They are not included as part of </w:t>
      </w:r>
      <w:r w:rsidRPr="00F97775">
        <w:rPr>
          <w:sz w:val="20"/>
        </w:rPr>
        <w:t>Salisbury University</w:t>
      </w:r>
      <w:r>
        <w:rPr>
          <w:sz w:val="20"/>
        </w:rPr>
        <w:t>’s Managing For Results and</w:t>
      </w:r>
      <w:r w:rsidRPr="00955CDB">
        <w:rPr>
          <w:sz w:val="20"/>
        </w:rPr>
        <w:t xml:space="preserve"> are not driven by any institutional targets</w:t>
      </w:r>
      <w:r>
        <w:rPr>
          <w:sz w:val="20"/>
        </w:rPr>
        <w:t xml:space="preserve"> because of offsetting goals</w:t>
      </w:r>
      <w:r w:rsidRPr="00955CDB">
        <w:rPr>
          <w:sz w:val="20"/>
        </w:rPr>
        <w:t>.</w:t>
      </w:r>
      <w:r>
        <w:rPr>
          <w:sz w:val="20"/>
        </w:rPr>
        <w:t xml:space="preserve"> They are included for informational purposes only.</w:t>
      </w:r>
    </w:p>
    <w:sectPr w:rsidR="002C046D" w:rsidRPr="002C046D" w:rsidSect="00517D6A">
      <w:endnotePr>
        <w:numFmt w:val="decimal"/>
      </w:endnotePr>
      <w:pgSz w:w="15840" w:h="12240" w:orient="landscape" w:code="1"/>
      <w:pgMar w:top="1440" w:right="1440" w:bottom="1440" w:left="1440" w:header="576"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D2AF3" w14:textId="77777777" w:rsidR="000B4220" w:rsidRDefault="000B4220">
      <w:pPr>
        <w:spacing w:line="20" w:lineRule="exact"/>
      </w:pPr>
    </w:p>
  </w:endnote>
  <w:endnote w:type="continuationSeparator" w:id="0">
    <w:p w14:paraId="515CF439" w14:textId="77777777" w:rsidR="000B4220" w:rsidRDefault="000B4220">
      <w:r>
        <w:t xml:space="preserve"> </w:t>
      </w:r>
    </w:p>
  </w:endnote>
  <w:endnote w:type="continuationNotice" w:id="1">
    <w:p w14:paraId="2F235A69" w14:textId="77777777" w:rsidR="000B4220" w:rsidRDefault="000B422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1C936" w14:textId="77777777" w:rsidR="00DA2FDB" w:rsidRDefault="00DA2F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F0F45D" w14:textId="77777777" w:rsidR="00DA2FDB" w:rsidRDefault="00DA2F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1DACC" w14:textId="77777777" w:rsidR="00DA2FDB" w:rsidRDefault="00DA2FDB" w:rsidP="00A9057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89FC7" w14:textId="77777777" w:rsidR="000B4220" w:rsidRDefault="000B4220">
      <w:r>
        <w:separator/>
      </w:r>
    </w:p>
  </w:footnote>
  <w:footnote w:type="continuationSeparator" w:id="0">
    <w:p w14:paraId="1BDD1685" w14:textId="77777777" w:rsidR="000B4220" w:rsidRDefault="000B42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F24A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21ECAC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D1E0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A66035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682BE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0B84FE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DCDBE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0D49B1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974BD3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F44094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lvl w:ilvl="0">
      <w:start w:val="1"/>
      <w:numFmt w:val="upperLetter"/>
      <w:pStyle w:val="QuickA"/>
      <w:lvlText w:val="        %1."/>
      <w:lvlJc w:val="left"/>
      <w:pPr>
        <w:tabs>
          <w:tab w:val="num" w:pos="1440"/>
        </w:tabs>
      </w:pPr>
      <w:rPr>
        <w:rFonts w:ascii="Times New Roman" w:hAnsi="Times New Roman"/>
        <w:sz w:val="24"/>
      </w:rPr>
    </w:lvl>
  </w:abstractNum>
  <w:abstractNum w:abstractNumId="11" w15:restartNumberingAfterBreak="0">
    <w:nsid w:val="01694A9B"/>
    <w:multiLevelType w:val="hybridMultilevel"/>
    <w:tmpl w:val="DCBCB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10175B"/>
    <w:multiLevelType w:val="hybridMultilevel"/>
    <w:tmpl w:val="1BA272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2700017"/>
    <w:multiLevelType w:val="hybridMultilevel"/>
    <w:tmpl w:val="5E683456"/>
    <w:lvl w:ilvl="0" w:tplc="04090001">
      <w:start w:val="1"/>
      <w:numFmt w:val="bullet"/>
      <w:lvlText w:val=""/>
      <w:lvlJc w:val="left"/>
      <w:pPr>
        <w:ind w:left="720" w:hanging="360"/>
      </w:pPr>
      <w:rPr>
        <w:rFonts w:ascii="Symbol" w:hAnsi="Symbol" w:hint="default"/>
      </w:rPr>
    </w:lvl>
    <w:lvl w:ilvl="1" w:tplc="BA34CDF8">
      <w:start w:val="1"/>
      <w:numFmt w:val="bullet"/>
      <w:lvlText w:val=""/>
      <w:lvlJc w:val="left"/>
      <w:pPr>
        <w:ind w:left="1440" w:hanging="360"/>
      </w:pPr>
      <w:rPr>
        <w:rFonts w:ascii="Symbol" w:hAnsi="Symbol"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0C29"/>
    <w:multiLevelType w:val="hybridMultilevel"/>
    <w:tmpl w:val="7114969E"/>
    <w:lvl w:ilvl="0" w:tplc="04090001">
      <w:start w:val="1"/>
      <w:numFmt w:val="bullet"/>
      <w:lvlText w:val=""/>
      <w:lvlJc w:val="left"/>
      <w:pPr>
        <w:tabs>
          <w:tab w:val="num" w:pos="360"/>
        </w:tabs>
        <w:ind w:left="360" w:hanging="360"/>
      </w:pPr>
      <w:rPr>
        <w:rFonts w:ascii="Symbol" w:hAnsi="Symbol" w:hint="default"/>
        <w:sz w:val="22"/>
      </w:rPr>
    </w:lvl>
    <w:lvl w:ilvl="1" w:tplc="A4E8E0AC">
      <w:start w:val="1"/>
      <w:numFmt w:val="bullet"/>
      <w:lvlText w:val=""/>
      <w:lvlJc w:val="left"/>
      <w:pPr>
        <w:tabs>
          <w:tab w:val="num" w:pos="1080"/>
        </w:tabs>
        <w:ind w:left="1080" w:hanging="360"/>
      </w:pPr>
      <w:rPr>
        <w:rFonts w:ascii="Symbol" w:hAnsi="Symbol" w:hint="default"/>
        <w:sz w:val="22"/>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51A339A"/>
    <w:multiLevelType w:val="hybridMultilevel"/>
    <w:tmpl w:val="97CC0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667FD2"/>
    <w:multiLevelType w:val="hybridMultilevel"/>
    <w:tmpl w:val="F0EC20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C21266"/>
    <w:multiLevelType w:val="hybridMultilevel"/>
    <w:tmpl w:val="538C99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03238338">
    <w:abstractNumId w:val="10"/>
    <w:lvlOverride w:ilvl="0">
      <w:startOverride w:val="1"/>
      <w:lvl w:ilvl="0">
        <w:start w:val="1"/>
        <w:numFmt w:val="decimal"/>
        <w:pStyle w:val="QuickA"/>
        <w:lvlText w:val="        %1."/>
        <w:lvlJc w:val="left"/>
      </w:lvl>
    </w:lvlOverride>
  </w:num>
  <w:num w:numId="2" w16cid:durableId="2100439921">
    <w:abstractNumId w:val="9"/>
  </w:num>
  <w:num w:numId="3" w16cid:durableId="1460875545">
    <w:abstractNumId w:val="7"/>
  </w:num>
  <w:num w:numId="4" w16cid:durableId="1195653123">
    <w:abstractNumId w:val="6"/>
  </w:num>
  <w:num w:numId="5" w16cid:durableId="99686965">
    <w:abstractNumId w:val="5"/>
  </w:num>
  <w:num w:numId="6" w16cid:durableId="639458815">
    <w:abstractNumId w:val="4"/>
  </w:num>
  <w:num w:numId="7" w16cid:durableId="1069613910">
    <w:abstractNumId w:val="8"/>
  </w:num>
  <w:num w:numId="8" w16cid:durableId="685910309">
    <w:abstractNumId w:val="3"/>
  </w:num>
  <w:num w:numId="9" w16cid:durableId="641352244">
    <w:abstractNumId w:val="2"/>
  </w:num>
  <w:num w:numId="10" w16cid:durableId="1994138019">
    <w:abstractNumId w:val="1"/>
  </w:num>
  <w:num w:numId="11" w16cid:durableId="898440827">
    <w:abstractNumId w:val="0"/>
  </w:num>
  <w:num w:numId="12" w16cid:durableId="429009604">
    <w:abstractNumId w:val="12"/>
  </w:num>
  <w:num w:numId="13" w16cid:durableId="1524250446">
    <w:abstractNumId w:val="14"/>
  </w:num>
  <w:num w:numId="14" w16cid:durableId="1537693839">
    <w:abstractNumId w:val="17"/>
  </w:num>
  <w:num w:numId="15" w16cid:durableId="500660598">
    <w:abstractNumId w:val="11"/>
  </w:num>
  <w:num w:numId="16" w16cid:durableId="1873421887">
    <w:abstractNumId w:val="15"/>
  </w:num>
  <w:num w:numId="17" w16cid:durableId="2061317242">
    <w:abstractNumId w:val="13"/>
  </w:num>
  <w:num w:numId="18" w16cid:durableId="1903589856">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0A"/>
    <w:rsid w:val="00005075"/>
    <w:rsid w:val="0000763F"/>
    <w:rsid w:val="000101DB"/>
    <w:rsid w:val="0001280A"/>
    <w:rsid w:val="0001434A"/>
    <w:rsid w:val="0001438F"/>
    <w:rsid w:val="00014DD8"/>
    <w:rsid w:val="000176A4"/>
    <w:rsid w:val="00020DB0"/>
    <w:rsid w:val="000223B6"/>
    <w:rsid w:val="00023071"/>
    <w:rsid w:val="00027957"/>
    <w:rsid w:val="000335FA"/>
    <w:rsid w:val="0003473B"/>
    <w:rsid w:val="000350D9"/>
    <w:rsid w:val="000376B6"/>
    <w:rsid w:val="00037CBA"/>
    <w:rsid w:val="00040A8B"/>
    <w:rsid w:val="00045D5B"/>
    <w:rsid w:val="00050EF6"/>
    <w:rsid w:val="00051417"/>
    <w:rsid w:val="0005244D"/>
    <w:rsid w:val="00056A61"/>
    <w:rsid w:val="00057F52"/>
    <w:rsid w:val="00063D1B"/>
    <w:rsid w:val="00065B06"/>
    <w:rsid w:val="0007044F"/>
    <w:rsid w:val="000739ED"/>
    <w:rsid w:val="00073B8D"/>
    <w:rsid w:val="00074206"/>
    <w:rsid w:val="0008394A"/>
    <w:rsid w:val="00085F69"/>
    <w:rsid w:val="000862E7"/>
    <w:rsid w:val="00087921"/>
    <w:rsid w:val="00090115"/>
    <w:rsid w:val="00090665"/>
    <w:rsid w:val="00091872"/>
    <w:rsid w:val="000950D3"/>
    <w:rsid w:val="000A1AFB"/>
    <w:rsid w:val="000A4EF6"/>
    <w:rsid w:val="000A5F69"/>
    <w:rsid w:val="000A7EB9"/>
    <w:rsid w:val="000B1917"/>
    <w:rsid w:val="000B244A"/>
    <w:rsid w:val="000B344A"/>
    <w:rsid w:val="000B4220"/>
    <w:rsid w:val="000B4D00"/>
    <w:rsid w:val="000B5B9D"/>
    <w:rsid w:val="000B6437"/>
    <w:rsid w:val="000B66DC"/>
    <w:rsid w:val="000C3179"/>
    <w:rsid w:val="000C3D74"/>
    <w:rsid w:val="000C5229"/>
    <w:rsid w:val="000C6613"/>
    <w:rsid w:val="000C6FFB"/>
    <w:rsid w:val="000D083A"/>
    <w:rsid w:val="000D1A63"/>
    <w:rsid w:val="000D60F8"/>
    <w:rsid w:val="000D7FE4"/>
    <w:rsid w:val="000E1728"/>
    <w:rsid w:val="000E4F08"/>
    <w:rsid w:val="000E667E"/>
    <w:rsid w:val="000E7E1C"/>
    <w:rsid w:val="000F0EC0"/>
    <w:rsid w:val="000F2E09"/>
    <w:rsid w:val="000F319A"/>
    <w:rsid w:val="000F4688"/>
    <w:rsid w:val="00100656"/>
    <w:rsid w:val="00103424"/>
    <w:rsid w:val="0010644A"/>
    <w:rsid w:val="001073C0"/>
    <w:rsid w:val="001074CA"/>
    <w:rsid w:val="00107B84"/>
    <w:rsid w:val="00111C3B"/>
    <w:rsid w:val="00112E6A"/>
    <w:rsid w:val="00114C97"/>
    <w:rsid w:val="00121BA0"/>
    <w:rsid w:val="00121EC8"/>
    <w:rsid w:val="00125EF8"/>
    <w:rsid w:val="001310FA"/>
    <w:rsid w:val="00131DD1"/>
    <w:rsid w:val="0013630C"/>
    <w:rsid w:val="0014304F"/>
    <w:rsid w:val="00147576"/>
    <w:rsid w:val="00150A8F"/>
    <w:rsid w:val="00152053"/>
    <w:rsid w:val="00152D3B"/>
    <w:rsid w:val="0015376C"/>
    <w:rsid w:val="00156EAA"/>
    <w:rsid w:val="00157114"/>
    <w:rsid w:val="00162D7B"/>
    <w:rsid w:val="00162E17"/>
    <w:rsid w:val="001710BB"/>
    <w:rsid w:val="00171226"/>
    <w:rsid w:val="001749B6"/>
    <w:rsid w:val="001764D4"/>
    <w:rsid w:val="00180616"/>
    <w:rsid w:val="00181B58"/>
    <w:rsid w:val="001848C2"/>
    <w:rsid w:val="00186506"/>
    <w:rsid w:val="001901B4"/>
    <w:rsid w:val="001928A1"/>
    <w:rsid w:val="00192D90"/>
    <w:rsid w:val="00193D50"/>
    <w:rsid w:val="00194D74"/>
    <w:rsid w:val="001973B7"/>
    <w:rsid w:val="001A2BB3"/>
    <w:rsid w:val="001A431B"/>
    <w:rsid w:val="001A457E"/>
    <w:rsid w:val="001B58DB"/>
    <w:rsid w:val="001B7B8C"/>
    <w:rsid w:val="001C232A"/>
    <w:rsid w:val="001C24D3"/>
    <w:rsid w:val="001C50DC"/>
    <w:rsid w:val="001D36D1"/>
    <w:rsid w:val="001D6D3D"/>
    <w:rsid w:val="001E06B9"/>
    <w:rsid w:val="001E1C8C"/>
    <w:rsid w:val="001E5501"/>
    <w:rsid w:val="001E64AB"/>
    <w:rsid w:val="001E669C"/>
    <w:rsid w:val="001E67DF"/>
    <w:rsid w:val="001F01A6"/>
    <w:rsid w:val="001F030D"/>
    <w:rsid w:val="001F1746"/>
    <w:rsid w:val="001F29BB"/>
    <w:rsid w:val="001F35D6"/>
    <w:rsid w:val="001F3D2B"/>
    <w:rsid w:val="001F588A"/>
    <w:rsid w:val="002000A8"/>
    <w:rsid w:val="00201F16"/>
    <w:rsid w:val="002023D1"/>
    <w:rsid w:val="0020317F"/>
    <w:rsid w:val="00203692"/>
    <w:rsid w:val="00203F43"/>
    <w:rsid w:val="00210416"/>
    <w:rsid w:val="002107B5"/>
    <w:rsid w:val="00211DC4"/>
    <w:rsid w:val="00215E8D"/>
    <w:rsid w:val="0021781F"/>
    <w:rsid w:val="00223B24"/>
    <w:rsid w:val="00223B92"/>
    <w:rsid w:val="00224B2D"/>
    <w:rsid w:val="00225229"/>
    <w:rsid w:val="0023156C"/>
    <w:rsid w:val="00231C28"/>
    <w:rsid w:val="0023347F"/>
    <w:rsid w:val="002364AB"/>
    <w:rsid w:val="002377D2"/>
    <w:rsid w:val="00237B4B"/>
    <w:rsid w:val="00245EB0"/>
    <w:rsid w:val="00246F84"/>
    <w:rsid w:val="00247989"/>
    <w:rsid w:val="00250E96"/>
    <w:rsid w:val="0025220C"/>
    <w:rsid w:val="00256DAA"/>
    <w:rsid w:val="0026752D"/>
    <w:rsid w:val="00270EB6"/>
    <w:rsid w:val="002724B6"/>
    <w:rsid w:val="0027477C"/>
    <w:rsid w:val="00275B5E"/>
    <w:rsid w:val="00277EF5"/>
    <w:rsid w:val="002800B1"/>
    <w:rsid w:val="002844D6"/>
    <w:rsid w:val="00285595"/>
    <w:rsid w:val="00292A8C"/>
    <w:rsid w:val="002A1468"/>
    <w:rsid w:val="002A3014"/>
    <w:rsid w:val="002A4933"/>
    <w:rsid w:val="002B0A8A"/>
    <w:rsid w:val="002B18D5"/>
    <w:rsid w:val="002B1A46"/>
    <w:rsid w:val="002B22FF"/>
    <w:rsid w:val="002B2C8F"/>
    <w:rsid w:val="002B337B"/>
    <w:rsid w:val="002B6B9B"/>
    <w:rsid w:val="002C006E"/>
    <w:rsid w:val="002C046D"/>
    <w:rsid w:val="002C0659"/>
    <w:rsid w:val="002C1DFA"/>
    <w:rsid w:val="002C3BA3"/>
    <w:rsid w:val="002C40FA"/>
    <w:rsid w:val="002C6ABD"/>
    <w:rsid w:val="002D5B48"/>
    <w:rsid w:val="002E076F"/>
    <w:rsid w:val="002E0F3C"/>
    <w:rsid w:val="002E2BB7"/>
    <w:rsid w:val="002E4C37"/>
    <w:rsid w:val="002E6309"/>
    <w:rsid w:val="002F2472"/>
    <w:rsid w:val="002F3B57"/>
    <w:rsid w:val="002F60C5"/>
    <w:rsid w:val="0030178B"/>
    <w:rsid w:val="00301DAE"/>
    <w:rsid w:val="00303A23"/>
    <w:rsid w:val="00303F9A"/>
    <w:rsid w:val="003139B4"/>
    <w:rsid w:val="00313A33"/>
    <w:rsid w:val="003153C3"/>
    <w:rsid w:val="00317B4F"/>
    <w:rsid w:val="003201BB"/>
    <w:rsid w:val="00322C23"/>
    <w:rsid w:val="003235E3"/>
    <w:rsid w:val="00323C8B"/>
    <w:rsid w:val="00323F99"/>
    <w:rsid w:val="0032471C"/>
    <w:rsid w:val="00325026"/>
    <w:rsid w:val="003314E5"/>
    <w:rsid w:val="003320D4"/>
    <w:rsid w:val="00333ADA"/>
    <w:rsid w:val="00333E48"/>
    <w:rsid w:val="003348CA"/>
    <w:rsid w:val="00337C65"/>
    <w:rsid w:val="003413AF"/>
    <w:rsid w:val="00346E1E"/>
    <w:rsid w:val="0035146C"/>
    <w:rsid w:val="0035631A"/>
    <w:rsid w:val="00371CD1"/>
    <w:rsid w:val="003724D4"/>
    <w:rsid w:val="003734A8"/>
    <w:rsid w:val="00377D77"/>
    <w:rsid w:val="00382F81"/>
    <w:rsid w:val="00386291"/>
    <w:rsid w:val="003862B4"/>
    <w:rsid w:val="003876BC"/>
    <w:rsid w:val="00390F26"/>
    <w:rsid w:val="00393271"/>
    <w:rsid w:val="003944EA"/>
    <w:rsid w:val="00396910"/>
    <w:rsid w:val="003A09CB"/>
    <w:rsid w:val="003A2144"/>
    <w:rsid w:val="003A21D4"/>
    <w:rsid w:val="003A2652"/>
    <w:rsid w:val="003A7428"/>
    <w:rsid w:val="003B1E03"/>
    <w:rsid w:val="003B2484"/>
    <w:rsid w:val="003C1C3A"/>
    <w:rsid w:val="003C26AB"/>
    <w:rsid w:val="003D5361"/>
    <w:rsid w:val="003D5793"/>
    <w:rsid w:val="003D759D"/>
    <w:rsid w:val="003E3494"/>
    <w:rsid w:val="003E49E1"/>
    <w:rsid w:val="003E609B"/>
    <w:rsid w:val="003E6994"/>
    <w:rsid w:val="003F1536"/>
    <w:rsid w:val="003F20DD"/>
    <w:rsid w:val="003F3A8E"/>
    <w:rsid w:val="00401D88"/>
    <w:rsid w:val="00402020"/>
    <w:rsid w:val="00403F39"/>
    <w:rsid w:val="004043F9"/>
    <w:rsid w:val="00405A71"/>
    <w:rsid w:val="00413B5D"/>
    <w:rsid w:val="004159C8"/>
    <w:rsid w:val="00420519"/>
    <w:rsid w:val="00421DA0"/>
    <w:rsid w:val="0042241A"/>
    <w:rsid w:val="0042263E"/>
    <w:rsid w:val="00422DB9"/>
    <w:rsid w:val="00425DE2"/>
    <w:rsid w:val="004300F2"/>
    <w:rsid w:val="00433B7B"/>
    <w:rsid w:val="00442A72"/>
    <w:rsid w:val="00442B08"/>
    <w:rsid w:val="00442D76"/>
    <w:rsid w:val="00443D0B"/>
    <w:rsid w:val="00443E28"/>
    <w:rsid w:val="004456EC"/>
    <w:rsid w:val="00446C1B"/>
    <w:rsid w:val="0045087F"/>
    <w:rsid w:val="00453525"/>
    <w:rsid w:val="00454550"/>
    <w:rsid w:val="004547A7"/>
    <w:rsid w:val="00454DFC"/>
    <w:rsid w:val="00456EAC"/>
    <w:rsid w:val="004634E9"/>
    <w:rsid w:val="00465159"/>
    <w:rsid w:val="00465CF7"/>
    <w:rsid w:val="004672C2"/>
    <w:rsid w:val="0047121A"/>
    <w:rsid w:val="004719E5"/>
    <w:rsid w:val="00476C2D"/>
    <w:rsid w:val="00483AF8"/>
    <w:rsid w:val="004909FE"/>
    <w:rsid w:val="00491BC4"/>
    <w:rsid w:val="00492034"/>
    <w:rsid w:val="00494E6A"/>
    <w:rsid w:val="004973EA"/>
    <w:rsid w:val="004A12DD"/>
    <w:rsid w:val="004A1AAF"/>
    <w:rsid w:val="004A2CA9"/>
    <w:rsid w:val="004A5862"/>
    <w:rsid w:val="004A7A38"/>
    <w:rsid w:val="004B0A90"/>
    <w:rsid w:val="004B3416"/>
    <w:rsid w:val="004B3D30"/>
    <w:rsid w:val="004B7C5D"/>
    <w:rsid w:val="004C010C"/>
    <w:rsid w:val="004C437E"/>
    <w:rsid w:val="004C4B96"/>
    <w:rsid w:val="004D3C49"/>
    <w:rsid w:val="004D7A0E"/>
    <w:rsid w:val="004E1ADB"/>
    <w:rsid w:val="004E1B72"/>
    <w:rsid w:val="004E28D1"/>
    <w:rsid w:val="004E43D7"/>
    <w:rsid w:val="004F0E79"/>
    <w:rsid w:val="004F3F34"/>
    <w:rsid w:val="004F5B3C"/>
    <w:rsid w:val="004F69A9"/>
    <w:rsid w:val="005013D9"/>
    <w:rsid w:val="00503CE0"/>
    <w:rsid w:val="00504461"/>
    <w:rsid w:val="005102B6"/>
    <w:rsid w:val="005113F9"/>
    <w:rsid w:val="00511636"/>
    <w:rsid w:val="00513949"/>
    <w:rsid w:val="00517D6A"/>
    <w:rsid w:val="00521C07"/>
    <w:rsid w:val="00522941"/>
    <w:rsid w:val="00522BDA"/>
    <w:rsid w:val="00525F4E"/>
    <w:rsid w:val="0053359D"/>
    <w:rsid w:val="00536C33"/>
    <w:rsid w:val="00545396"/>
    <w:rsid w:val="00546C9C"/>
    <w:rsid w:val="00550F5F"/>
    <w:rsid w:val="0055434C"/>
    <w:rsid w:val="00557C32"/>
    <w:rsid w:val="00562842"/>
    <w:rsid w:val="00566114"/>
    <w:rsid w:val="005668EE"/>
    <w:rsid w:val="00566F02"/>
    <w:rsid w:val="005703C7"/>
    <w:rsid w:val="00570671"/>
    <w:rsid w:val="00570966"/>
    <w:rsid w:val="00570B3F"/>
    <w:rsid w:val="00571F3C"/>
    <w:rsid w:val="0057270F"/>
    <w:rsid w:val="00575E71"/>
    <w:rsid w:val="00576B89"/>
    <w:rsid w:val="00580EAA"/>
    <w:rsid w:val="00582E45"/>
    <w:rsid w:val="00584F53"/>
    <w:rsid w:val="00585C01"/>
    <w:rsid w:val="00585E56"/>
    <w:rsid w:val="00586D52"/>
    <w:rsid w:val="00587329"/>
    <w:rsid w:val="00590AD3"/>
    <w:rsid w:val="0059352B"/>
    <w:rsid w:val="005953F2"/>
    <w:rsid w:val="005973AF"/>
    <w:rsid w:val="005A3F42"/>
    <w:rsid w:val="005A3FC5"/>
    <w:rsid w:val="005A6706"/>
    <w:rsid w:val="005A6EA4"/>
    <w:rsid w:val="005A7854"/>
    <w:rsid w:val="005B02D5"/>
    <w:rsid w:val="005B2D9B"/>
    <w:rsid w:val="005B6196"/>
    <w:rsid w:val="005B7C34"/>
    <w:rsid w:val="005C0CF3"/>
    <w:rsid w:val="005C105C"/>
    <w:rsid w:val="005D0EE4"/>
    <w:rsid w:val="005D3E38"/>
    <w:rsid w:val="005D4D69"/>
    <w:rsid w:val="005E01E2"/>
    <w:rsid w:val="005E1E19"/>
    <w:rsid w:val="005E5FEA"/>
    <w:rsid w:val="005F21A7"/>
    <w:rsid w:val="005F2450"/>
    <w:rsid w:val="005F3726"/>
    <w:rsid w:val="005F3AD1"/>
    <w:rsid w:val="005F5C8B"/>
    <w:rsid w:val="005F70CC"/>
    <w:rsid w:val="0060579D"/>
    <w:rsid w:val="00605BC4"/>
    <w:rsid w:val="0060623D"/>
    <w:rsid w:val="00606339"/>
    <w:rsid w:val="00606925"/>
    <w:rsid w:val="00607F94"/>
    <w:rsid w:val="00612575"/>
    <w:rsid w:val="0061269A"/>
    <w:rsid w:val="00612A72"/>
    <w:rsid w:val="0061550A"/>
    <w:rsid w:val="00620928"/>
    <w:rsid w:val="00622371"/>
    <w:rsid w:val="00625C23"/>
    <w:rsid w:val="00627764"/>
    <w:rsid w:val="00631A3A"/>
    <w:rsid w:val="00632DF4"/>
    <w:rsid w:val="00633F78"/>
    <w:rsid w:val="00634FD6"/>
    <w:rsid w:val="006368FF"/>
    <w:rsid w:val="00636FDF"/>
    <w:rsid w:val="00640003"/>
    <w:rsid w:val="0064288D"/>
    <w:rsid w:val="00642C47"/>
    <w:rsid w:val="0064365F"/>
    <w:rsid w:val="006441A6"/>
    <w:rsid w:val="0064494A"/>
    <w:rsid w:val="00647BFC"/>
    <w:rsid w:val="00655199"/>
    <w:rsid w:val="00657E06"/>
    <w:rsid w:val="00663B6B"/>
    <w:rsid w:val="00666E37"/>
    <w:rsid w:val="006721B5"/>
    <w:rsid w:val="0067429A"/>
    <w:rsid w:val="00674C30"/>
    <w:rsid w:val="00674EAD"/>
    <w:rsid w:val="006778C8"/>
    <w:rsid w:val="00686484"/>
    <w:rsid w:val="006905B8"/>
    <w:rsid w:val="0069418A"/>
    <w:rsid w:val="00696970"/>
    <w:rsid w:val="006A0CCD"/>
    <w:rsid w:val="006A16E6"/>
    <w:rsid w:val="006A228B"/>
    <w:rsid w:val="006A3D5E"/>
    <w:rsid w:val="006A776D"/>
    <w:rsid w:val="006B16AE"/>
    <w:rsid w:val="006B4191"/>
    <w:rsid w:val="006B7B6F"/>
    <w:rsid w:val="006C352A"/>
    <w:rsid w:val="006C49B2"/>
    <w:rsid w:val="006C5CE7"/>
    <w:rsid w:val="006C7AD0"/>
    <w:rsid w:val="006D0358"/>
    <w:rsid w:val="006D0A08"/>
    <w:rsid w:val="006D0C10"/>
    <w:rsid w:val="006D58C3"/>
    <w:rsid w:val="006D723C"/>
    <w:rsid w:val="006D7FB8"/>
    <w:rsid w:val="006F1646"/>
    <w:rsid w:val="006F45FD"/>
    <w:rsid w:val="006F4FED"/>
    <w:rsid w:val="007002DE"/>
    <w:rsid w:val="00700FE4"/>
    <w:rsid w:val="0070152C"/>
    <w:rsid w:val="00704ACF"/>
    <w:rsid w:val="007078E2"/>
    <w:rsid w:val="0071015B"/>
    <w:rsid w:val="00715AA1"/>
    <w:rsid w:val="007161B9"/>
    <w:rsid w:val="00716A98"/>
    <w:rsid w:val="007172F1"/>
    <w:rsid w:val="007174F0"/>
    <w:rsid w:val="00721C7F"/>
    <w:rsid w:val="007232EF"/>
    <w:rsid w:val="00723D8A"/>
    <w:rsid w:val="00726402"/>
    <w:rsid w:val="00730FB7"/>
    <w:rsid w:val="00735724"/>
    <w:rsid w:val="007412AE"/>
    <w:rsid w:val="00741E4D"/>
    <w:rsid w:val="00745EBC"/>
    <w:rsid w:val="007462AD"/>
    <w:rsid w:val="007466B9"/>
    <w:rsid w:val="00747A5B"/>
    <w:rsid w:val="00751AA0"/>
    <w:rsid w:val="007522FF"/>
    <w:rsid w:val="00763369"/>
    <w:rsid w:val="00763943"/>
    <w:rsid w:val="00764364"/>
    <w:rsid w:val="00765E96"/>
    <w:rsid w:val="00770C38"/>
    <w:rsid w:val="007761AB"/>
    <w:rsid w:val="00781BFC"/>
    <w:rsid w:val="00782455"/>
    <w:rsid w:val="00782CA2"/>
    <w:rsid w:val="00783AFB"/>
    <w:rsid w:val="0078520C"/>
    <w:rsid w:val="007901EA"/>
    <w:rsid w:val="0079052E"/>
    <w:rsid w:val="00792B05"/>
    <w:rsid w:val="00793498"/>
    <w:rsid w:val="007A1B10"/>
    <w:rsid w:val="007A4C59"/>
    <w:rsid w:val="007A651F"/>
    <w:rsid w:val="007B0DC4"/>
    <w:rsid w:val="007B226B"/>
    <w:rsid w:val="007B3DBA"/>
    <w:rsid w:val="007B3DE5"/>
    <w:rsid w:val="007B6679"/>
    <w:rsid w:val="007C166A"/>
    <w:rsid w:val="007C2D62"/>
    <w:rsid w:val="007C3B56"/>
    <w:rsid w:val="007C7508"/>
    <w:rsid w:val="007C7890"/>
    <w:rsid w:val="007E0770"/>
    <w:rsid w:val="007E709C"/>
    <w:rsid w:val="007F128E"/>
    <w:rsid w:val="007F44FA"/>
    <w:rsid w:val="007F47AA"/>
    <w:rsid w:val="007F4CAF"/>
    <w:rsid w:val="007F54F7"/>
    <w:rsid w:val="007F67CC"/>
    <w:rsid w:val="007F7E88"/>
    <w:rsid w:val="0080150E"/>
    <w:rsid w:val="00803DA3"/>
    <w:rsid w:val="00805D72"/>
    <w:rsid w:val="00807DE2"/>
    <w:rsid w:val="00811B8F"/>
    <w:rsid w:val="00811E4B"/>
    <w:rsid w:val="008128C9"/>
    <w:rsid w:val="0081394B"/>
    <w:rsid w:val="00815949"/>
    <w:rsid w:val="008166E0"/>
    <w:rsid w:val="00821189"/>
    <w:rsid w:val="00823514"/>
    <w:rsid w:val="00823574"/>
    <w:rsid w:val="00824D96"/>
    <w:rsid w:val="008264CE"/>
    <w:rsid w:val="008265F3"/>
    <w:rsid w:val="00832DD7"/>
    <w:rsid w:val="00832FE8"/>
    <w:rsid w:val="00833931"/>
    <w:rsid w:val="00835069"/>
    <w:rsid w:val="00836D81"/>
    <w:rsid w:val="0084414C"/>
    <w:rsid w:val="00844AA4"/>
    <w:rsid w:val="00845E71"/>
    <w:rsid w:val="008504F2"/>
    <w:rsid w:val="00853941"/>
    <w:rsid w:val="0085602C"/>
    <w:rsid w:val="00856752"/>
    <w:rsid w:val="00856B53"/>
    <w:rsid w:val="00857494"/>
    <w:rsid w:val="008629E2"/>
    <w:rsid w:val="008645EF"/>
    <w:rsid w:val="00870FA3"/>
    <w:rsid w:val="00871B63"/>
    <w:rsid w:val="00871F0C"/>
    <w:rsid w:val="00871FF8"/>
    <w:rsid w:val="008720A4"/>
    <w:rsid w:val="0087301C"/>
    <w:rsid w:val="00873A7A"/>
    <w:rsid w:val="00873B4C"/>
    <w:rsid w:val="008742FE"/>
    <w:rsid w:val="0087500E"/>
    <w:rsid w:val="00883654"/>
    <w:rsid w:val="008912AF"/>
    <w:rsid w:val="008937FB"/>
    <w:rsid w:val="008973A5"/>
    <w:rsid w:val="008A085B"/>
    <w:rsid w:val="008A1205"/>
    <w:rsid w:val="008A6CE7"/>
    <w:rsid w:val="008B04F5"/>
    <w:rsid w:val="008B148F"/>
    <w:rsid w:val="008B402F"/>
    <w:rsid w:val="008C288D"/>
    <w:rsid w:val="008C3EE4"/>
    <w:rsid w:val="008C4C77"/>
    <w:rsid w:val="008C6234"/>
    <w:rsid w:val="008C6E6F"/>
    <w:rsid w:val="008C7767"/>
    <w:rsid w:val="008D3C18"/>
    <w:rsid w:val="008D46B8"/>
    <w:rsid w:val="008D4946"/>
    <w:rsid w:val="008D5B6E"/>
    <w:rsid w:val="008D64C2"/>
    <w:rsid w:val="008D6F1D"/>
    <w:rsid w:val="008E2319"/>
    <w:rsid w:val="008E2D0D"/>
    <w:rsid w:val="008E4C4A"/>
    <w:rsid w:val="008E54B3"/>
    <w:rsid w:val="008E60A0"/>
    <w:rsid w:val="008E6968"/>
    <w:rsid w:val="008E72C9"/>
    <w:rsid w:val="008E740D"/>
    <w:rsid w:val="008E7616"/>
    <w:rsid w:val="008F256F"/>
    <w:rsid w:val="0090405A"/>
    <w:rsid w:val="00906BE8"/>
    <w:rsid w:val="009075FF"/>
    <w:rsid w:val="00907C11"/>
    <w:rsid w:val="00907C4F"/>
    <w:rsid w:val="00914354"/>
    <w:rsid w:val="00921F80"/>
    <w:rsid w:val="009225DE"/>
    <w:rsid w:val="009232D9"/>
    <w:rsid w:val="00923419"/>
    <w:rsid w:val="00923759"/>
    <w:rsid w:val="009307DC"/>
    <w:rsid w:val="00931B6E"/>
    <w:rsid w:val="00933C7F"/>
    <w:rsid w:val="0093580D"/>
    <w:rsid w:val="00946BE3"/>
    <w:rsid w:val="009527D9"/>
    <w:rsid w:val="00952AAF"/>
    <w:rsid w:val="00954DB1"/>
    <w:rsid w:val="009616BC"/>
    <w:rsid w:val="00962484"/>
    <w:rsid w:val="00963285"/>
    <w:rsid w:val="009645FF"/>
    <w:rsid w:val="009651CE"/>
    <w:rsid w:val="00974B44"/>
    <w:rsid w:val="00974F6B"/>
    <w:rsid w:val="00976276"/>
    <w:rsid w:val="00977300"/>
    <w:rsid w:val="00981B00"/>
    <w:rsid w:val="009825A4"/>
    <w:rsid w:val="00982E77"/>
    <w:rsid w:val="009848F0"/>
    <w:rsid w:val="00986C1C"/>
    <w:rsid w:val="009871F9"/>
    <w:rsid w:val="00987363"/>
    <w:rsid w:val="00987559"/>
    <w:rsid w:val="009903E5"/>
    <w:rsid w:val="00990B60"/>
    <w:rsid w:val="00992991"/>
    <w:rsid w:val="009931E6"/>
    <w:rsid w:val="00995975"/>
    <w:rsid w:val="00996154"/>
    <w:rsid w:val="009A37A8"/>
    <w:rsid w:val="009A4893"/>
    <w:rsid w:val="009A7EF7"/>
    <w:rsid w:val="009B1CBF"/>
    <w:rsid w:val="009B328A"/>
    <w:rsid w:val="009B5E14"/>
    <w:rsid w:val="009B6EBE"/>
    <w:rsid w:val="009C728E"/>
    <w:rsid w:val="009D2EA4"/>
    <w:rsid w:val="009D33C7"/>
    <w:rsid w:val="009D7532"/>
    <w:rsid w:val="009D75EE"/>
    <w:rsid w:val="009D7811"/>
    <w:rsid w:val="009E0446"/>
    <w:rsid w:val="009E09E7"/>
    <w:rsid w:val="009E0DD6"/>
    <w:rsid w:val="009E639F"/>
    <w:rsid w:val="009F24E6"/>
    <w:rsid w:val="009F3914"/>
    <w:rsid w:val="009F49D9"/>
    <w:rsid w:val="009F53EA"/>
    <w:rsid w:val="00A05069"/>
    <w:rsid w:val="00A061C6"/>
    <w:rsid w:val="00A07E0B"/>
    <w:rsid w:val="00A20117"/>
    <w:rsid w:val="00A20A2C"/>
    <w:rsid w:val="00A20C5C"/>
    <w:rsid w:val="00A21F20"/>
    <w:rsid w:val="00A22079"/>
    <w:rsid w:val="00A30A53"/>
    <w:rsid w:val="00A30F2B"/>
    <w:rsid w:val="00A33249"/>
    <w:rsid w:val="00A34837"/>
    <w:rsid w:val="00A3606D"/>
    <w:rsid w:val="00A3610C"/>
    <w:rsid w:val="00A367B9"/>
    <w:rsid w:val="00A373D1"/>
    <w:rsid w:val="00A40CCC"/>
    <w:rsid w:val="00A4115C"/>
    <w:rsid w:val="00A428DC"/>
    <w:rsid w:val="00A42D87"/>
    <w:rsid w:val="00A43D2E"/>
    <w:rsid w:val="00A4473D"/>
    <w:rsid w:val="00A44F76"/>
    <w:rsid w:val="00A47E41"/>
    <w:rsid w:val="00A5016F"/>
    <w:rsid w:val="00A504D9"/>
    <w:rsid w:val="00A51E88"/>
    <w:rsid w:val="00A53780"/>
    <w:rsid w:val="00A57C38"/>
    <w:rsid w:val="00A6026F"/>
    <w:rsid w:val="00A61844"/>
    <w:rsid w:val="00A65E19"/>
    <w:rsid w:val="00A6622B"/>
    <w:rsid w:val="00A67CA6"/>
    <w:rsid w:val="00A72A7C"/>
    <w:rsid w:val="00A75DAC"/>
    <w:rsid w:val="00A8432E"/>
    <w:rsid w:val="00A85B82"/>
    <w:rsid w:val="00A9057A"/>
    <w:rsid w:val="00A93C93"/>
    <w:rsid w:val="00A94C72"/>
    <w:rsid w:val="00A95514"/>
    <w:rsid w:val="00AA18D7"/>
    <w:rsid w:val="00AA4154"/>
    <w:rsid w:val="00AA5468"/>
    <w:rsid w:val="00AA554B"/>
    <w:rsid w:val="00AA64D9"/>
    <w:rsid w:val="00AB2FD6"/>
    <w:rsid w:val="00AB376B"/>
    <w:rsid w:val="00AB72EA"/>
    <w:rsid w:val="00AB7D1A"/>
    <w:rsid w:val="00AC4C2D"/>
    <w:rsid w:val="00AC7140"/>
    <w:rsid w:val="00AD19AE"/>
    <w:rsid w:val="00AD30EA"/>
    <w:rsid w:val="00AD39E1"/>
    <w:rsid w:val="00AD58BB"/>
    <w:rsid w:val="00AD5E5D"/>
    <w:rsid w:val="00AD682A"/>
    <w:rsid w:val="00AE1457"/>
    <w:rsid w:val="00AE5579"/>
    <w:rsid w:val="00AE6517"/>
    <w:rsid w:val="00AF1431"/>
    <w:rsid w:val="00AF5D8B"/>
    <w:rsid w:val="00AF6739"/>
    <w:rsid w:val="00B0405C"/>
    <w:rsid w:val="00B05712"/>
    <w:rsid w:val="00B05F7E"/>
    <w:rsid w:val="00B11AD3"/>
    <w:rsid w:val="00B12895"/>
    <w:rsid w:val="00B131D1"/>
    <w:rsid w:val="00B1384F"/>
    <w:rsid w:val="00B14FA3"/>
    <w:rsid w:val="00B15AF5"/>
    <w:rsid w:val="00B17941"/>
    <w:rsid w:val="00B21A4D"/>
    <w:rsid w:val="00B240DB"/>
    <w:rsid w:val="00B24E6D"/>
    <w:rsid w:val="00B3013B"/>
    <w:rsid w:val="00B339B7"/>
    <w:rsid w:val="00B35044"/>
    <w:rsid w:val="00B36D35"/>
    <w:rsid w:val="00B40643"/>
    <w:rsid w:val="00B41629"/>
    <w:rsid w:val="00B433BC"/>
    <w:rsid w:val="00B43B60"/>
    <w:rsid w:val="00B461F8"/>
    <w:rsid w:val="00B461FA"/>
    <w:rsid w:val="00B5081D"/>
    <w:rsid w:val="00B53AC3"/>
    <w:rsid w:val="00B55EC4"/>
    <w:rsid w:val="00B60EE7"/>
    <w:rsid w:val="00B61475"/>
    <w:rsid w:val="00B65A31"/>
    <w:rsid w:val="00B6759E"/>
    <w:rsid w:val="00B74C3A"/>
    <w:rsid w:val="00B7639F"/>
    <w:rsid w:val="00B77193"/>
    <w:rsid w:val="00B77BCD"/>
    <w:rsid w:val="00B80BE1"/>
    <w:rsid w:val="00B81733"/>
    <w:rsid w:val="00B83341"/>
    <w:rsid w:val="00B85350"/>
    <w:rsid w:val="00B85476"/>
    <w:rsid w:val="00B85E78"/>
    <w:rsid w:val="00B877F7"/>
    <w:rsid w:val="00B92F0B"/>
    <w:rsid w:val="00B936C1"/>
    <w:rsid w:val="00B96FA3"/>
    <w:rsid w:val="00BA0217"/>
    <w:rsid w:val="00BA0312"/>
    <w:rsid w:val="00BA2026"/>
    <w:rsid w:val="00BA3780"/>
    <w:rsid w:val="00BA5216"/>
    <w:rsid w:val="00BA66BD"/>
    <w:rsid w:val="00BB0A2B"/>
    <w:rsid w:val="00BB224E"/>
    <w:rsid w:val="00BB341B"/>
    <w:rsid w:val="00BB51BA"/>
    <w:rsid w:val="00BC7658"/>
    <w:rsid w:val="00BD024B"/>
    <w:rsid w:val="00BD21EE"/>
    <w:rsid w:val="00BD6B7C"/>
    <w:rsid w:val="00BE063F"/>
    <w:rsid w:val="00BE41F7"/>
    <w:rsid w:val="00BE46D5"/>
    <w:rsid w:val="00BF264C"/>
    <w:rsid w:val="00BF5577"/>
    <w:rsid w:val="00BF6A0B"/>
    <w:rsid w:val="00C00996"/>
    <w:rsid w:val="00C00E5B"/>
    <w:rsid w:val="00C01A1B"/>
    <w:rsid w:val="00C02D2D"/>
    <w:rsid w:val="00C03FA5"/>
    <w:rsid w:val="00C0557B"/>
    <w:rsid w:val="00C12DFD"/>
    <w:rsid w:val="00C204B2"/>
    <w:rsid w:val="00C238B5"/>
    <w:rsid w:val="00C26D7E"/>
    <w:rsid w:val="00C27783"/>
    <w:rsid w:val="00C279DA"/>
    <w:rsid w:val="00C3349D"/>
    <w:rsid w:val="00C34812"/>
    <w:rsid w:val="00C375F7"/>
    <w:rsid w:val="00C42C60"/>
    <w:rsid w:val="00C42DFA"/>
    <w:rsid w:val="00C43689"/>
    <w:rsid w:val="00C47FEB"/>
    <w:rsid w:val="00C507F8"/>
    <w:rsid w:val="00C52C84"/>
    <w:rsid w:val="00C5341C"/>
    <w:rsid w:val="00C55286"/>
    <w:rsid w:val="00C5712B"/>
    <w:rsid w:val="00C573AD"/>
    <w:rsid w:val="00C60115"/>
    <w:rsid w:val="00C611D1"/>
    <w:rsid w:val="00C61439"/>
    <w:rsid w:val="00C6647C"/>
    <w:rsid w:val="00C71A2B"/>
    <w:rsid w:val="00C7243F"/>
    <w:rsid w:val="00C73452"/>
    <w:rsid w:val="00C75E62"/>
    <w:rsid w:val="00C8054E"/>
    <w:rsid w:val="00C83709"/>
    <w:rsid w:val="00C83B07"/>
    <w:rsid w:val="00C84830"/>
    <w:rsid w:val="00C90D48"/>
    <w:rsid w:val="00C942A2"/>
    <w:rsid w:val="00C95FF0"/>
    <w:rsid w:val="00C96AFC"/>
    <w:rsid w:val="00CA000D"/>
    <w:rsid w:val="00CA12CE"/>
    <w:rsid w:val="00CA1D6E"/>
    <w:rsid w:val="00CA36C2"/>
    <w:rsid w:val="00CA3B1D"/>
    <w:rsid w:val="00CA5280"/>
    <w:rsid w:val="00CA5498"/>
    <w:rsid w:val="00CA71C2"/>
    <w:rsid w:val="00CA77BB"/>
    <w:rsid w:val="00CB33BD"/>
    <w:rsid w:val="00CB3733"/>
    <w:rsid w:val="00CB416D"/>
    <w:rsid w:val="00CB4759"/>
    <w:rsid w:val="00CB6251"/>
    <w:rsid w:val="00CB7185"/>
    <w:rsid w:val="00CB726D"/>
    <w:rsid w:val="00CB7E22"/>
    <w:rsid w:val="00CC646F"/>
    <w:rsid w:val="00CC6A78"/>
    <w:rsid w:val="00CC6CC0"/>
    <w:rsid w:val="00CC72D8"/>
    <w:rsid w:val="00CD1C33"/>
    <w:rsid w:val="00CD2CB3"/>
    <w:rsid w:val="00CD5A94"/>
    <w:rsid w:val="00CE0E81"/>
    <w:rsid w:val="00CE22C8"/>
    <w:rsid w:val="00CE4935"/>
    <w:rsid w:val="00CE4FE3"/>
    <w:rsid w:val="00CE6D7B"/>
    <w:rsid w:val="00CF1C19"/>
    <w:rsid w:val="00CF267D"/>
    <w:rsid w:val="00CF4B25"/>
    <w:rsid w:val="00CF60CF"/>
    <w:rsid w:val="00D01272"/>
    <w:rsid w:val="00D02CD0"/>
    <w:rsid w:val="00D06630"/>
    <w:rsid w:val="00D117B6"/>
    <w:rsid w:val="00D14BB8"/>
    <w:rsid w:val="00D17A75"/>
    <w:rsid w:val="00D17D2B"/>
    <w:rsid w:val="00D21240"/>
    <w:rsid w:val="00D225C2"/>
    <w:rsid w:val="00D241E6"/>
    <w:rsid w:val="00D25314"/>
    <w:rsid w:val="00D25DB5"/>
    <w:rsid w:val="00D31647"/>
    <w:rsid w:val="00D3357C"/>
    <w:rsid w:val="00D34B40"/>
    <w:rsid w:val="00D41CA1"/>
    <w:rsid w:val="00D4299F"/>
    <w:rsid w:val="00D44F56"/>
    <w:rsid w:val="00D52059"/>
    <w:rsid w:val="00D54270"/>
    <w:rsid w:val="00D55A7F"/>
    <w:rsid w:val="00D57444"/>
    <w:rsid w:val="00D60E6E"/>
    <w:rsid w:val="00D67803"/>
    <w:rsid w:val="00D67AC6"/>
    <w:rsid w:val="00D7066D"/>
    <w:rsid w:val="00D70C27"/>
    <w:rsid w:val="00D74040"/>
    <w:rsid w:val="00D7547E"/>
    <w:rsid w:val="00D76C62"/>
    <w:rsid w:val="00D7790D"/>
    <w:rsid w:val="00D80361"/>
    <w:rsid w:val="00D81444"/>
    <w:rsid w:val="00D82EC2"/>
    <w:rsid w:val="00D83307"/>
    <w:rsid w:val="00D834F8"/>
    <w:rsid w:val="00D85D37"/>
    <w:rsid w:val="00D874DF"/>
    <w:rsid w:val="00D90888"/>
    <w:rsid w:val="00D9573D"/>
    <w:rsid w:val="00DA166F"/>
    <w:rsid w:val="00DA2FDB"/>
    <w:rsid w:val="00DA375B"/>
    <w:rsid w:val="00DA3D87"/>
    <w:rsid w:val="00DB0385"/>
    <w:rsid w:val="00DB0C99"/>
    <w:rsid w:val="00DB2AB2"/>
    <w:rsid w:val="00DB39FC"/>
    <w:rsid w:val="00DB7A3E"/>
    <w:rsid w:val="00DC0D94"/>
    <w:rsid w:val="00DC0E02"/>
    <w:rsid w:val="00DC238D"/>
    <w:rsid w:val="00DC3F75"/>
    <w:rsid w:val="00DC4661"/>
    <w:rsid w:val="00DC670D"/>
    <w:rsid w:val="00DD0E94"/>
    <w:rsid w:val="00DD10E8"/>
    <w:rsid w:val="00DD1C30"/>
    <w:rsid w:val="00DD21D3"/>
    <w:rsid w:val="00DD2836"/>
    <w:rsid w:val="00DD33C1"/>
    <w:rsid w:val="00DD3A53"/>
    <w:rsid w:val="00DD4BCC"/>
    <w:rsid w:val="00DE0FB0"/>
    <w:rsid w:val="00DE6C61"/>
    <w:rsid w:val="00DF288A"/>
    <w:rsid w:val="00DF485A"/>
    <w:rsid w:val="00E003C6"/>
    <w:rsid w:val="00E072F5"/>
    <w:rsid w:val="00E07499"/>
    <w:rsid w:val="00E121C1"/>
    <w:rsid w:val="00E13949"/>
    <w:rsid w:val="00E20325"/>
    <w:rsid w:val="00E2068A"/>
    <w:rsid w:val="00E20831"/>
    <w:rsid w:val="00E2086A"/>
    <w:rsid w:val="00E2233C"/>
    <w:rsid w:val="00E23CF1"/>
    <w:rsid w:val="00E248C1"/>
    <w:rsid w:val="00E31A89"/>
    <w:rsid w:val="00E33357"/>
    <w:rsid w:val="00E33E4E"/>
    <w:rsid w:val="00E342B4"/>
    <w:rsid w:val="00E344B2"/>
    <w:rsid w:val="00E356ED"/>
    <w:rsid w:val="00E36379"/>
    <w:rsid w:val="00E4260D"/>
    <w:rsid w:val="00E45566"/>
    <w:rsid w:val="00E51345"/>
    <w:rsid w:val="00E51687"/>
    <w:rsid w:val="00E5177D"/>
    <w:rsid w:val="00E526C1"/>
    <w:rsid w:val="00E541C1"/>
    <w:rsid w:val="00E547D3"/>
    <w:rsid w:val="00E5664F"/>
    <w:rsid w:val="00E567EC"/>
    <w:rsid w:val="00E56DE5"/>
    <w:rsid w:val="00E606FB"/>
    <w:rsid w:val="00E67EE1"/>
    <w:rsid w:val="00E7393F"/>
    <w:rsid w:val="00E74C7C"/>
    <w:rsid w:val="00E760E2"/>
    <w:rsid w:val="00E77C93"/>
    <w:rsid w:val="00E81CCD"/>
    <w:rsid w:val="00E82076"/>
    <w:rsid w:val="00E835F7"/>
    <w:rsid w:val="00E83818"/>
    <w:rsid w:val="00E8616E"/>
    <w:rsid w:val="00E90ED0"/>
    <w:rsid w:val="00E94B5C"/>
    <w:rsid w:val="00E967C1"/>
    <w:rsid w:val="00EA065B"/>
    <w:rsid w:val="00EA10B0"/>
    <w:rsid w:val="00EA2113"/>
    <w:rsid w:val="00EA4D41"/>
    <w:rsid w:val="00EA5FCF"/>
    <w:rsid w:val="00EB2D44"/>
    <w:rsid w:val="00EB35F9"/>
    <w:rsid w:val="00EB498E"/>
    <w:rsid w:val="00EB6A62"/>
    <w:rsid w:val="00EB73EC"/>
    <w:rsid w:val="00EB7906"/>
    <w:rsid w:val="00EC0DCA"/>
    <w:rsid w:val="00EC11C2"/>
    <w:rsid w:val="00EC27BE"/>
    <w:rsid w:val="00EC2A66"/>
    <w:rsid w:val="00ED09B5"/>
    <w:rsid w:val="00ED1234"/>
    <w:rsid w:val="00ED2E8D"/>
    <w:rsid w:val="00ED6AB4"/>
    <w:rsid w:val="00ED6C0E"/>
    <w:rsid w:val="00ED72B8"/>
    <w:rsid w:val="00EE0A7E"/>
    <w:rsid w:val="00EE0E7E"/>
    <w:rsid w:val="00EE2720"/>
    <w:rsid w:val="00EE36CA"/>
    <w:rsid w:val="00EE56A7"/>
    <w:rsid w:val="00EF10D6"/>
    <w:rsid w:val="00EF2657"/>
    <w:rsid w:val="00EF40BB"/>
    <w:rsid w:val="00EF4AF2"/>
    <w:rsid w:val="00EF5CEB"/>
    <w:rsid w:val="00EF6DBC"/>
    <w:rsid w:val="00EF77B5"/>
    <w:rsid w:val="00F000F3"/>
    <w:rsid w:val="00F00C25"/>
    <w:rsid w:val="00F01291"/>
    <w:rsid w:val="00F03D01"/>
    <w:rsid w:val="00F1106A"/>
    <w:rsid w:val="00F205A5"/>
    <w:rsid w:val="00F21751"/>
    <w:rsid w:val="00F2462F"/>
    <w:rsid w:val="00F247E8"/>
    <w:rsid w:val="00F273DD"/>
    <w:rsid w:val="00F315B2"/>
    <w:rsid w:val="00F33544"/>
    <w:rsid w:val="00F40457"/>
    <w:rsid w:val="00F42D45"/>
    <w:rsid w:val="00F432DE"/>
    <w:rsid w:val="00F457E6"/>
    <w:rsid w:val="00F4667E"/>
    <w:rsid w:val="00F474E8"/>
    <w:rsid w:val="00F47570"/>
    <w:rsid w:val="00F47891"/>
    <w:rsid w:val="00F506A0"/>
    <w:rsid w:val="00F55D49"/>
    <w:rsid w:val="00F568BF"/>
    <w:rsid w:val="00F56A44"/>
    <w:rsid w:val="00F62B45"/>
    <w:rsid w:val="00F637F4"/>
    <w:rsid w:val="00F6655B"/>
    <w:rsid w:val="00F7588F"/>
    <w:rsid w:val="00F839E2"/>
    <w:rsid w:val="00F8468B"/>
    <w:rsid w:val="00F87B51"/>
    <w:rsid w:val="00F92C66"/>
    <w:rsid w:val="00F92D7C"/>
    <w:rsid w:val="00F94C48"/>
    <w:rsid w:val="00F9604F"/>
    <w:rsid w:val="00F96D90"/>
    <w:rsid w:val="00F97E40"/>
    <w:rsid w:val="00FA1465"/>
    <w:rsid w:val="00FA20DF"/>
    <w:rsid w:val="00FA283C"/>
    <w:rsid w:val="00FA306A"/>
    <w:rsid w:val="00FA3E84"/>
    <w:rsid w:val="00FA45B8"/>
    <w:rsid w:val="00FA4C18"/>
    <w:rsid w:val="00FB0B88"/>
    <w:rsid w:val="00FB0D41"/>
    <w:rsid w:val="00FB1C12"/>
    <w:rsid w:val="00FB5F0E"/>
    <w:rsid w:val="00FB7AC8"/>
    <w:rsid w:val="00FC0845"/>
    <w:rsid w:val="00FC241B"/>
    <w:rsid w:val="00FC3D8C"/>
    <w:rsid w:val="00FC7719"/>
    <w:rsid w:val="00FD2794"/>
    <w:rsid w:val="00FD2D94"/>
    <w:rsid w:val="00FD3973"/>
    <w:rsid w:val="00FD3D0D"/>
    <w:rsid w:val="00FD4531"/>
    <w:rsid w:val="00FD759D"/>
    <w:rsid w:val="00FE2C13"/>
    <w:rsid w:val="00FE4490"/>
    <w:rsid w:val="00FE4952"/>
    <w:rsid w:val="00FE77B5"/>
    <w:rsid w:val="00FE7896"/>
    <w:rsid w:val="00FE7F07"/>
    <w:rsid w:val="00FF041B"/>
    <w:rsid w:val="00FF37EB"/>
    <w:rsid w:val="00FF4BD5"/>
    <w:rsid w:val="00FF5EFE"/>
    <w:rsid w:val="00FF6BF1"/>
    <w:rsid w:val="00FF7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stockticker"/>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27210538"/>
  <w15:chartTrackingRefBased/>
  <w15:docId w15:val="{B0DE94A6-1668-4337-8F5A-A161CD8E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uppressAutoHyphens/>
      <w:jc w:val="center"/>
      <w:outlineLvl w:val="0"/>
    </w:pPr>
    <w:rPr>
      <w:b/>
      <w:sz w:val="28"/>
    </w:rPr>
  </w:style>
  <w:style w:type="paragraph" w:styleId="Heading2">
    <w:name w:val="heading 2"/>
    <w:basedOn w:val="Normal"/>
    <w:next w:val="Normal"/>
    <w:qFormat/>
    <w:pPr>
      <w:keepNext/>
      <w:suppressAutoHyphens/>
      <w:jc w:val="center"/>
      <w:outlineLvl w:val="1"/>
    </w:pPr>
    <w:rPr>
      <w:b/>
    </w:rPr>
  </w:style>
  <w:style w:type="paragraph" w:styleId="Heading3">
    <w:name w:val="heading 3"/>
    <w:basedOn w:val="Normal"/>
    <w:next w:val="Normal"/>
    <w:qFormat/>
    <w:pPr>
      <w:keepNext/>
      <w:suppressAutoHyphens/>
      <w:outlineLvl w:val="2"/>
    </w:pPr>
    <w:rPr>
      <w:b/>
    </w:rPr>
  </w:style>
  <w:style w:type="paragraph" w:styleId="Heading4">
    <w:name w:val="heading 4"/>
    <w:basedOn w:val="Normal"/>
    <w:next w:val="Normal"/>
    <w:qFormat/>
    <w:pPr>
      <w:keepNext/>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outlineLvl w:val="3"/>
    </w:pPr>
    <w:rPr>
      <w:b/>
    </w:rPr>
  </w:style>
  <w:style w:type="paragraph" w:styleId="Heading5">
    <w:name w:val="heading 5"/>
    <w:basedOn w:val="Normal"/>
    <w:next w:val="Normal"/>
    <w:qFormat/>
    <w:pPr>
      <w:keepNext/>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outlineLvl w:val="4"/>
    </w:pPr>
    <w:rPr>
      <w:b/>
      <w:sz w:val="20"/>
    </w:rPr>
  </w:style>
  <w:style w:type="paragraph" w:styleId="Heading6">
    <w:name w:val="heading 6"/>
    <w:basedOn w:val="Normal"/>
    <w:next w:val="Normal"/>
    <w:qFormat/>
    <w:pPr>
      <w:keepNext/>
      <w:ind w:left="2160" w:hanging="1440"/>
      <w:jc w:val="center"/>
      <w:outlineLvl w:val="5"/>
    </w:pPr>
    <w:rPr>
      <w:b/>
      <w:sz w:val="20"/>
    </w:rPr>
  </w:style>
  <w:style w:type="paragraph" w:styleId="Heading7">
    <w:name w:val="heading 7"/>
    <w:basedOn w:val="Normal"/>
    <w:next w:val="Normal"/>
    <w:qFormat/>
    <w:pPr>
      <w:keepNext/>
      <w:ind w:left="2880" w:hanging="1440"/>
      <w:outlineLvl w:val="6"/>
    </w:pPr>
    <w:rPr>
      <w:u w:val="single"/>
    </w:rPr>
  </w:style>
  <w:style w:type="paragraph" w:styleId="Heading8">
    <w:name w:val="heading 8"/>
    <w:basedOn w:val="Normal"/>
    <w:next w:val="Normal"/>
    <w:qFormat/>
    <w:pPr>
      <w:keepNext/>
      <w:ind w:left="720"/>
      <w:outlineLvl w:val="7"/>
    </w:pPr>
    <w:rPr>
      <w:b/>
      <w:sz w:val="20"/>
    </w:rPr>
  </w:style>
  <w:style w:type="paragraph" w:styleId="Heading9">
    <w:name w:val="heading 9"/>
    <w:basedOn w:val="Normal"/>
    <w:next w:val="Normal"/>
    <w:qFormat/>
    <w:pPr>
      <w:keepNext/>
      <w:ind w:left="2880" w:hanging="1440"/>
      <w:jc w:val="center"/>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pPr>
    <w:rPr>
      <w:sz w:val="20"/>
    </w:rPr>
  </w:style>
  <w:style w:type="paragraph" w:styleId="BodyTextIndent">
    <w:name w:val="Body Text Indent"/>
    <w:basedOn w:val="Normal"/>
    <w:rPr>
      <w:b/>
    </w:rPr>
  </w:style>
  <w:style w:type="paragraph" w:styleId="Title">
    <w:name w:val="Title"/>
    <w:basedOn w:val="Normal"/>
    <w:qFormat/>
    <w:pPr>
      <w:widowControl/>
      <w:tabs>
        <w:tab w:val="left" w:pos="7191"/>
      </w:tabs>
      <w:jc w:val="center"/>
    </w:pPr>
    <w:rPr>
      <w:snapToGrid/>
      <w:sz w:val="28"/>
    </w:rPr>
  </w:style>
  <w:style w:type="paragraph" w:styleId="Subtitle">
    <w:name w:val="Subtitle"/>
    <w:basedOn w:val="Normal"/>
    <w:qFormat/>
    <w:pPr>
      <w:widowControl/>
      <w:tabs>
        <w:tab w:val="left" w:pos="7191"/>
      </w:tabs>
    </w:pPr>
    <w:rPr>
      <w:b/>
      <w:bCs/>
      <w:snapToGrid/>
    </w:rPr>
  </w:style>
  <w:style w:type="paragraph" w:styleId="BodyTextIndent2">
    <w:name w:val="Body Text Indent 2"/>
    <w:basedOn w:val="Normal"/>
    <w:pPr>
      <w:ind w:left="1440"/>
    </w:pPr>
    <w:rPr>
      <w:sz w:val="20"/>
    </w:rPr>
  </w:style>
  <w:style w:type="paragraph" w:styleId="BodyTextIndent3">
    <w:name w:val="Body Text Indent 3"/>
    <w:basedOn w:val="Normal"/>
    <w:pPr>
      <w:ind w:left="2880" w:hanging="1440"/>
    </w:pPr>
    <w:rPr>
      <w:sz w:val="20"/>
    </w:rPr>
  </w:style>
  <w:style w:type="paragraph" w:styleId="DocumentMap">
    <w:name w:val="Document Map"/>
    <w:basedOn w:val="Normal"/>
    <w:semiHidden/>
    <w:pPr>
      <w:shd w:val="clear" w:color="auto" w:fill="000080"/>
    </w:pPr>
    <w:rPr>
      <w:rFonts w:ascii="Tahoma" w:hAnsi="Tahoma"/>
    </w:rPr>
  </w:style>
  <w:style w:type="paragraph" w:customStyle="1" w:styleId="QuickA">
    <w:name w:val="Quick A."/>
    <w:basedOn w:val="Normal"/>
    <w:pPr>
      <w:numPr>
        <w:numId w:val="1"/>
      </w:numPr>
    </w:pPr>
  </w:style>
  <w:style w:type="paragraph" w:styleId="PlainText">
    <w:name w:val="Plain Text"/>
    <w:basedOn w:val="z-TopofForm"/>
    <w:pPr>
      <w:widowControl/>
      <w:pBdr>
        <w:bottom w:val="none" w:sz="0" w:space="0" w:color="auto"/>
      </w:pBdr>
      <w:jc w:val="left"/>
    </w:pPr>
    <w:rPr>
      <w:rFonts w:ascii="Courier New" w:hAnsi="Courier New" w:cs="Courier New"/>
      <w:snapToGrid/>
      <w:vanish w:val="0"/>
      <w:sz w:val="20"/>
      <w:szCs w:val="20"/>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character" w:styleId="PageNumber">
    <w:name w:val="page number"/>
    <w:basedOn w:val="DefaultParagraphFont"/>
  </w:style>
  <w:style w:type="character" w:styleId="Hyperlink">
    <w:name w:val="Hyperlink"/>
    <w:rPr>
      <w:color w:val="0000FF"/>
      <w:u w:val="single"/>
    </w:rPr>
  </w:style>
  <w:style w:type="paragraph" w:styleId="ListBullet">
    <w:name w:val="List Bullet"/>
    <w:basedOn w:val="Normal"/>
    <w:autoRedefine/>
    <w:pPr>
      <w:widowControl/>
      <w:numPr>
        <w:numId w:val="2"/>
      </w:numPr>
    </w:pPr>
    <w:rPr>
      <w:snapToGrid/>
      <w:sz w:val="20"/>
    </w:rPr>
  </w:style>
  <w:style w:type="paragraph" w:styleId="ListBullet2">
    <w:name w:val="List Bullet 2"/>
    <w:basedOn w:val="Normal"/>
    <w:autoRedefine/>
    <w:pPr>
      <w:widowControl/>
      <w:numPr>
        <w:numId w:val="3"/>
      </w:numPr>
    </w:pPr>
    <w:rPr>
      <w:snapToGrid/>
      <w:sz w:val="20"/>
    </w:rPr>
  </w:style>
  <w:style w:type="paragraph" w:styleId="ListBullet3">
    <w:name w:val="List Bullet 3"/>
    <w:basedOn w:val="Normal"/>
    <w:autoRedefine/>
    <w:pPr>
      <w:widowControl/>
      <w:numPr>
        <w:numId w:val="4"/>
      </w:numPr>
    </w:pPr>
    <w:rPr>
      <w:snapToGrid/>
      <w:sz w:val="20"/>
    </w:rPr>
  </w:style>
  <w:style w:type="paragraph" w:styleId="ListBullet4">
    <w:name w:val="List Bullet 4"/>
    <w:basedOn w:val="Normal"/>
    <w:autoRedefine/>
    <w:pPr>
      <w:widowControl/>
      <w:numPr>
        <w:numId w:val="5"/>
      </w:numPr>
    </w:pPr>
    <w:rPr>
      <w:snapToGrid/>
      <w:sz w:val="20"/>
    </w:rPr>
  </w:style>
  <w:style w:type="paragraph" w:styleId="ListBullet5">
    <w:name w:val="List Bullet 5"/>
    <w:basedOn w:val="Normal"/>
    <w:autoRedefine/>
    <w:pPr>
      <w:widowControl/>
      <w:numPr>
        <w:numId w:val="6"/>
      </w:numPr>
    </w:pPr>
    <w:rPr>
      <w:snapToGrid/>
      <w:sz w:val="20"/>
    </w:rPr>
  </w:style>
  <w:style w:type="paragraph" w:styleId="ListNumber">
    <w:name w:val="List Number"/>
    <w:basedOn w:val="Normal"/>
    <w:pPr>
      <w:widowControl/>
      <w:numPr>
        <w:numId w:val="7"/>
      </w:numPr>
    </w:pPr>
    <w:rPr>
      <w:snapToGrid/>
      <w:sz w:val="20"/>
    </w:rPr>
  </w:style>
  <w:style w:type="paragraph" w:styleId="ListNumber2">
    <w:name w:val="List Number 2"/>
    <w:basedOn w:val="Normal"/>
    <w:pPr>
      <w:widowControl/>
      <w:numPr>
        <w:numId w:val="8"/>
      </w:numPr>
    </w:pPr>
    <w:rPr>
      <w:snapToGrid/>
      <w:sz w:val="20"/>
    </w:rPr>
  </w:style>
  <w:style w:type="paragraph" w:styleId="ListNumber3">
    <w:name w:val="List Number 3"/>
    <w:basedOn w:val="Normal"/>
    <w:pPr>
      <w:widowControl/>
      <w:numPr>
        <w:numId w:val="9"/>
      </w:numPr>
    </w:pPr>
    <w:rPr>
      <w:snapToGrid/>
      <w:sz w:val="20"/>
    </w:rPr>
  </w:style>
  <w:style w:type="paragraph" w:styleId="ListNumber4">
    <w:name w:val="List Number 4"/>
    <w:basedOn w:val="Normal"/>
    <w:pPr>
      <w:widowControl/>
      <w:numPr>
        <w:numId w:val="10"/>
      </w:numPr>
    </w:pPr>
    <w:rPr>
      <w:snapToGrid/>
      <w:sz w:val="20"/>
    </w:rPr>
  </w:style>
  <w:style w:type="paragraph" w:styleId="ListNumber5">
    <w:name w:val="List Number 5"/>
    <w:basedOn w:val="Normal"/>
    <w:pPr>
      <w:widowControl/>
      <w:numPr>
        <w:numId w:val="11"/>
      </w:numPr>
    </w:pPr>
    <w:rPr>
      <w:snapToGrid/>
      <w:sz w:val="20"/>
    </w:rPr>
  </w:style>
  <w:style w:type="paragraph" w:customStyle="1" w:styleId="objective">
    <w:name w:val="objective"/>
    <w:basedOn w:val="Normal"/>
    <w:pPr>
      <w:widowControl/>
      <w:ind w:left="1288" w:hanging="1288"/>
    </w:pPr>
    <w:rPr>
      <w:bCs/>
      <w:snapToGrid/>
      <w:sz w:val="20"/>
    </w:rPr>
  </w:style>
  <w:style w:type="character" w:styleId="FollowedHyperlink">
    <w:name w:val="FollowedHyperlink"/>
    <w:rPr>
      <w:color w:val="800080"/>
      <w:u w:val="single"/>
    </w:rPr>
  </w:style>
  <w:style w:type="paragraph" w:styleId="BodyText2">
    <w:name w:val="Body Text 2"/>
    <w:basedOn w:val="Normal"/>
    <w:pPr>
      <w:spacing w:after="120" w:line="480" w:lineRule="auto"/>
    </w:pPr>
  </w:style>
  <w:style w:type="paragraph" w:styleId="BalloonText">
    <w:name w:val="Balloon Text"/>
    <w:basedOn w:val="Normal"/>
    <w:semiHidden/>
    <w:rPr>
      <w:rFonts w:ascii="Tahoma" w:hAnsi="Tahoma" w:cs="Tahoma"/>
      <w:sz w:val="16"/>
      <w:szCs w:val="16"/>
    </w:rPr>
  </w:style>
  <w:style w:type="paragraph" w:customStyle="1" w:styleId="Quick1">
    <w:name w:val="Quick 1."/>
    <w:basedOn w:val="Normal"/>
    <w:pPr>
      <w:ind w:left="720" w:hanging="720"/>
    </w:pPr>
  </w:style>
  <w:style w:type="paragraph" w:styleId="NormalWeb">
    <w:name w:val="Normal (Web)"/>
    <w:basedOn w:val="Normal"/>
    <w:pPr>
      <w:widowControl/>
      <w:spacing w:before="100" w:beforeAutospacing="1" w:after="100" w:afterAutospacing="1"/>
    </w:pPr>
    <w:rPr>
      <w:rFonts w:ascii="Arial Unicode MS" w:eastAsia="Arial Unicode MS" w:hAnsi="Arial Unicode MS" w:cs="Arial Unicode MS"/>
      <w:snapToGrid/>
      <w:szCs w:val="24"/>
    </w:rPr>
  </w:style>
  <w:style w:type="paragraph" w:styleId="BodyText3">
    <w:name w:val="Body Text 3"/>
    <w:basedOn w:val="Normal"/>
    <w:rsid w:val="00805D72"/>
    <w:pPr>
      <w:spacing w:after="120"/>
    </w:pPr>
    <w:rPr>
      <w:sz w:val="16"/>
      <w:szCs w:val="16"/>
    </w:rPr>
  </w:style>
  <w:style w:type="table" w:styleId="TableGrid">
    <w:name w:val="Table Grid"/>
    <w:basedOn w:val="TableNormal"/>
    <w:rsid w:val="00E8616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B7AC8"/>
    <w:rPr>
      <w:sz w:val="16"/>
      <w:szCs w:val="16"/>
    </w:rPr>
  </w:style>
  <w:style w:type="paragraph" w:styleId="CommentText">
    <w:name w:val="annotation text"/>
    <w:basedOn w:val="Normal"/>
    <w:link w:val="CommentTextChar"/>
    <w:uiPriority w:val="99"/>
    <w:semiHidden/>
    <w:unhideWhenUsed/>
    <w:rsid w:val="00FB7AC8"/>
    <w:rPr>
      <w:sz w:val="20"/>
    </w:rPr>
  </w:style>
  <w:style w:type="character" w:customStyle="1" w:styleId="CommentTextChar">
    <w:name w:val="Comment Text Char"/>
    <w:link w:val="CommentText"/>
    <w:uiPriority w:val="99"/>
    <w:semiHidden/>
    <w:rsid w:val="00FB7AC8"/>
    <w:rPr>
      <w:snapToGrid w:val="0"/>
    </w:rPr>
  </w:style>
  <w:style w:type="paragraph" w:styleId="CommentSubject">
    <w:name w:val="annotation subject"/>
    <w:basedOn w:val="CommentText"/>
    <w:next w:val="CommentText"/>
    <w:link w:val="CommentSubjectChar"/>
    <w:uiPriority w:val="99"/>
    <w:semiHidden/>
    <w:unhideWhenUsed/>
    <w:rsid w:val="00FB7AC8"/>
    <w:rPr>
      <w:b/>
      <w:bCs/>
    </w:rPr>
  </w:style>
  <w:style w:type="character" w:customStyle="1" w:styleId="CommentSubjectChar">
    <w:name w:val="Comment Subject Char"/>
    <w:link w:val="CommentSubject"/>
    <w:uiPriority w:val="99"/>
    <w:semiHidden/>
    <w:rsid w:val="00FB7AC8"/>
    <w:rPr>
      <w:b/>
      <w:bCs/>
      <w:snapToGrid w:val="0"/>
    </w:rPr>
  </w:style>
  <w:style w:type="paragraph" w:customStyle="1" w:styleId="xmsonormal">
    <w:name w:val="x_msonormal"/>
    <w:basedOn w:val="Normal"/>
    <w:rsid w:val="001A457E"/>
    <w:pPr>
      <w:widowControl/>
      <w:spacing w:before="100" w:beforeAutospacing="1" w:after="100" w:afterAutospacing="1"/>
    </w:pPr>
    <w:rPr>
      <w:snapToGrid/>
      <w:szCs w:val="24"/>
    </w:rPr>
  </w:style>
  <w:style w:type="character" w:customStyle="1" w:styleId="FooterChar">
    <w:name w:val="Footer Char"/>
    <w:link w:val="Footer"/>
    <w:uiPriority w:val="99"/>
    <w:rsid w:val="007174F0"/>
    <w:rPr>
      <w:snapToGrid w:val="0"/>
      <w:sz w:val="24"/>
    </w:rPr>
  </w:style>
  <w:style w:type="paragraph" w:styleId="ListParagraph">
    <w:name w:val="List Paragraph"/>
    <w:basedOn w:val="Normal"/>
    <w:uiPriority w:val="34"/>
    <w:qFormat/>
    <w:rsid w:val="00E7393F"/>
    <w:pPr>
      <w:widowControl/>
      <w:spacing w:after="200" w:line="276" w:lineRule="auto"/>
      <w:ind w:left="720"/>
      <w:contextualSpacing/>
    </w:pPr>
    <w:rPr>
      <w:rFonts w:ascii="Calibri" w:eastAsia="Calibri" w:hAnsi="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885765">
      <w:bodyDiv w:val="1"/>
      <w:marLeft w:val="0"/>
      <w:marRight w:val="0"/>
      <w:marTop w:val="0"/>
      <w:marBottom w:val="0"/>
      <w:divBdr>
        <w:top w:val="none" w:sz="0" w:space="0" w:color="auto"/>
        <w:left w:val="none" w:sz="0" w:space="0" w:color="auto"/>
        <w:bottom w:val="none" w:sz="0" w:space="0" w:color="auto"/>
        <w:right w:val="none" w:sz="0" w:space="0" w:color="auto"/>
      </w:divBdr>
    </w:div>
    <w:div w:id="1639651459">
      <w:bodyDiv w:val="1"/>
      <w:marLeft w:val="0"/>
      <w:marRight w:val="0"/>
      <w:marTop w:val="0"/>
      <w:marBottom w:val="0"/>
      <w:divBdr>
        <w:top w:val="none" w:sz="0" w:space="0" w:color="auto"/>
        <w:left w:val="none" w:sz="0" w:space="0" w:color="auto"/>
        <w:bottom w:val="none" w:sz="0" w:space="0" w:color="auto"/>
        <w:right w:val="none" w:sz="0" w:space="0" w:color="auto"/>
      </w:divBdr>
    </w:div>
    <w:div w:id="189642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731AD-BA9B-4AE9-B805-1B4AA359D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5319</Words>
  <Characters>30320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Salisbury University Accountability Report 2005</vt:lpstr>
    </vt:vector>
  </TitlesOfParts>
  <Manager>Bryan Price</Manager>
  <Company>Salisbury University</Company>
  <LinksUpToDate>false</LinksUpToDate>
  <CharactersWithSpaces>35568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Salisbury University Accountability Report 2005</dc:title>
  <dc:subject>Accountability Report/MFR</dc:subject>
  <dc:creator>Bryan Price</dc:creator>
  <cp:keywords/>
  <cp:lastModifiedBy>Todd Smith</cp:lastModifiedBy>
  <cp:revision>2</cp:revision>
  <cp:lastPrinted>2012-09-12T14:13:00Z</cp:lastPrinted>
  <dcterms:created xsi:type="dcterms:W3CDTF">2026-06-22T17:47:00Z</dcterms:created>
  <dcterms:modified xsi:type="dcterms:W3CDTF">2026-06-22T17:47:00Z</dcterms:modified>
</cp:coreProperties>
</file>